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rPr>
          <w:rFonts w:hint="eastAsia" w:ascii="Times New Roman" w:hAnsi="Times New Roman" w:eastAsia="宋体"/>
          <w:lang w:eastAsia="zh-CN"/>
        </w:rPr>
      </w:pPr>
      <w:r>
        <w:rPr>
          <w:rFonts w:hint="eastAsia" w:ascii="Times New Roman" w:hAnsi="Times New Roman" w:eastAsia="宋体"/>
          <w:lang w:eastAsia="zh-CN"/>
        </w:rPr>
        <w:drawing>
          <wp:anchor distT="0" distB="0" distL="114300" distR="114300" simplePos="0" relativeHeight="251666432" behindDoc="1" locked="0" layoutInCell="1" allowOverlap="1">
            <wp:simplePos x="0" y="0"/>
            <wp:positionH relativeFrom="column">
              <wp:posOffset>-1345565</wp:posOffset>
            </wp:positionH>
            <wp:positionV relativeFrom="paragraph">
              <wp:posOffset>-1056005</wp:posOffset>
            </wp:positionV>
            <wp:extent cx="7552690" cy="10679430"/>
            <wp:effectExtent l="0" t="0" r="0" b="0"/>
            <wp:wrapTight wrapText="bothSides">
              <wp:wrapPolygon>
                <wp:start x="0" y="0"/>
                <wp:lineTo x="0" y="21577"/>
                <wp:lineTo x="21520" y="21577"/>
                <wp:lineTo x="21520" y="0"/>
                <wp:lineTo x="0" y="0"/>
              </wp:wrapPolygon>
            </wp:wrapTight>
            <wp:docPr id="2" name="图片 2" descr="IMG_5865(20211125-17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5865(20211125-171610)"/>
                    <pic:cNvPicPr>
                      <a:picLocks noChangeAspect="1"/>
                    </pic:cNvPicPr>
                  </pic:nvPicPr>
                  <pic:blipFill>
                    <a:blip r:embed="rId11"/>
                    <a:stretch>
                      <a:fillRect/>
                    </a:stretch>
                  </pic:blipFill>
                  <pic:spPr>
                    <a:xfrm>
                      <a:off x="0" y="0"/>
                      <a:ext cx="7552690" cy="10679430"/>
                    </a:xfrm>
                    <a:prstGeom prst="rect">
                      <a:avLst/>
                    </a:prstGeom>
                  </pic:spPr>
                </pic:pic>
              </a:graphicData>
            </a:graphic>
          </wp:anchor>
        </w:drawing>
      </w:r>
    </w:p>
    <w:p>
      <w:pPr>
        <w:rPr>
          <w:rFonts w:ascii="Times New Roman" w:hAnsi="Times New Roman"/>
        </w:rPr>
      </w:pPr>
      <w:r>
        <w:rPr>
          <w:rFonts w:ascii="黑体" w:hAnsi="黑体" w:eastAsia="黑体" w:cs="黑体"/>
          <w:sz w:val="40"/>
          <w:szCs w:val="30"/>
        </w:rPr>
        <w:drawing>
          <wp:anchor distT="0" distB="0" distL="114300" distR="114300" simplePos="0" relativeHeight="251665408" behindDoc="0" locked="0" layoutInCell="1" allowOverlap="1">
            <wp:simplePos x="0" y="0"/>
            <wp:positionH relativeFrom="page">
              <wp:posOffset>-2540</wp:posOffset>
            </wp:positionH>
            <wp:positionV relativeFrom="page">
              <wp:posOffset>0</wp:posOffset>
            </wp:positionV>
            <wp:extent cx="7560310" cy="10690860"/>
            <wp:effectExtent l="0" t="0" r="2540" b="15240"/>
            <wp:wrapSquare wrapText="bothSides"/>
            <wp:docPr id="49" name="图片 49" descr="G:\质量年度报告、调研报告完整版\2021年度\海西蒙古族藏族自治州职业技术学校\输出\2021年质量报告-- 海西蒙古族藏族自治州职业技术学校_页面_02.jpg2021年质量报告-- 海西蒙古族藏族自治州职业技术学校_页面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G:\质量年度报告、调研报告完整版\2021年度\海西蒙古族藏族自治州职业技术学校\输出\2021年质量报告-- 海西蒙古族藏族自治州职业技术学校_页面_02.jpg2021年质量报告-- 海西蒙古族藏族自治州职业技术学校_页面_02"/>
                    <pic:cNvPicPr>
                      <a:picLocks noChangeAspect="1" noChangeArrowheads="1"/>
                    </pic:cNvPicPr>
                  </pic:nvPicPr>
                  <pic:blipFill>
                    <a:blip r:embed="rId12"/>
                    <a:srcRect/>
                    <a:stretch>
                      <a:fillRect/>
                    </a:stretch>
                  </pic:blipFill>
                  <pic:spPr>
                    <a:xfrm>
                      <a:off x="0" y="0"/>
                      <a:ext cx="7560310" cy="10690860"/>
                    </a:xfrm>
                    <a:prstGeom prst="rect">
                      <a:avLst/>
                    </a:prstGeom>
                    <a:noFill/>
                    <a:ln>
                      <a:noFill/>
                    </a:ln>
                  </pic:spPr>
                </pic:pic>
              </a:graphicData>
            </a:graphic>
          </wp:anchor>
        </w:drawing>
      </w:r>
    </w:p>
    <w:p>
      <w:pPr>
        <w:rPr>
          <w:rFonts w:ascii="Times New Roman" w:hAnsi="Times New Roman"/>
        </w:rPr>
      </w:pPr>
      <w:r>
        <w:rPr>
          <w:rFonts w:hint="eastAsia" w:ascii="Times New Roman" w:hAnsi="Times New Roman" w:eastAsia="黑体" w:cs="黑体"/>
          <w:sz w:val="40"/>
          <w:szCs w:val="30"/>
        </w:rPr>
        <w:drawing>
          <wp:anchor distT="0" distB="0" distL="114300" distR="114300" simplePos="0" relativeHeight="251660288" behindDoc="1" locked="0" layoutInCell="1" allowOverlap="1">
            <wp:simplePos x="0" y="0"/>
            <wp:positionH relativeFrom="page">
              <wp:posOffset>-55880</wp:posOffset>
            </wp:positionH>
            <wp:positionV relativeFrom="page">
              <wp:posOffset>9525</wp:posOffset>
            </wp:positionV>
            <wp:extent cx="7615555" cy="10690225"/>
            <wp:effectExtent l="0" t="0" r="0" b="15875"/>
            <wp:wrapThrough wrapText="bothSides">
              <wp:wrapPolygon>
                <wp:start x="0" y="0"/>
                <wp:lineTo x="0" y="21555"/>
                <wp:lineTo x="21559" y="21555"/>
                <wp:lineTo x="21559" y="0"/>
                <wp:lineTo x="0" y="0"/>
              </wp:wrapPolygon>
            </wp:wrapThrough>
            <wp:docPr id="59" name="图片 59" descr="2018年质量报告--成都市礼仪职业中学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2018年质量报告--成都市礼仪职业中学3"/>
                    <pic:cNvPicPr>
                      <a:picLocks noChangeAspect="1"/>
                    </pic:cNvPicPr>
                  </pic:nvPicPr>
                  <pic:blipFill>
                    <a:blip r:embed="rId13" cstate="print"/>
                    <a:stretch>
                      <a:fillRect/>
                    </a:stretch>
                  </pic:blipFill>
                  <pic:spPr>
                    <a:xfrm>
                      <a:off x="0" y="0"/>
                      <a:ext cx="7615555" cy="10690225"/>
                    </a:xfrm>
                    <a:prstGeom prst="rect">
                      <a:avLst/>
                    </a:prstGeom>
                  </pic:spPr>
                </pic:pic>
              </a:graphicData>
            </a:graphic>
          </wp:anchor>
        </w:drawing>
      </w:r>
    </w:p>
    <w:p>
      <w:pPr>
        <w:rPr>
          <w:rFonts w:hint="eastAsia" w:ascii="Times New Roman" w:hAnsi="Times New Roman" w:eastAsia="宋体"/>
          <w:lang w:eastAsia="zh-CN"/>
        </w:rPr>
      </w:pPr>
      <w:r>
        <w:rPr>
          <w:rFonts w:hint="eastAsia" w:ascii="Times New Roman" w:hAnsi="Times New Roman" w:eastAsia="宋体"/>
          <w:lang w:eastAsia="zh-CN"/>
        </w:rPr>
        <w:drawing>
          <wp:anchor distT="0" distB="0" distL="114300" distR="114300" simplePos="0" relativeHeight="251667456" behindDoc="1" locked="0" layoutInCell="1" allowOverlap="1">
            <wp:simplePos x="0" y="0"/>
            <wp:positionH relativeFrom="column">
              <wp:posOffset>-3035935</wp:posOffset>
            </wp:positionH>
            <wp:positionV relativeFrom="paragraph">
              <wp:posOffset>-1684020</wp:posOffset>
            </wp:positionV>
            <wp:extent cx="7553960" cy="10680700"/>
            <wp:effectExtent l="0" t="0" r="0" b="0"/>
            <wp:wrapTight wrapText="bothSides">
              <wp:wrapPolygon>
                <wp:start x="0" y="0"/>
                <wp:lineTo x="0" y="21574"/>
                <wp:lineTo x="21571" y="21574"/>
                <wp:lineTo x="21571" y="0"/>
                <wp:lineTo x="0" y="0"/>
              </wp:wrapPolygon>
            </wp:wrapTight>
            <wp:docPr id="5" name="图片 5" descr="IMG_5864(20211125-17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5864(20211125-171607)"/>
                    <pic:cNvPicPr>
                      <a:picLocks noChangeAspect="1"/>
                    </pic:cNvPicPr>
                  </pic:nvPicPr>
                  <pic:blipFill>
                    <a:blip r:embed="rId14"/>
                    <a:stretch>
                      <a:fillRect/>
                    </a:stretch>
                  </pic:blipFill>
                  <pic:spPr>
                    <a:xfrm>
                      <a:off x="0" y="0"/>
                      <a:ext cx="7553960" cy="10680700"/>
                    </a:xfrm>
                    <a:prstGeom prst="rect">
                      <a:avLst/>
                    </a:prstGeom>
                  </pic:spPr>
                </pic:pic>
              </a:graphicData>
            </a:graphic>
          </wp:anchor>
        </w:drawing>
      </w:r>
      <w:r>
        <w:rPr>
          <w:rFonts w:hint="eastAsia" w:ascii="Times New Roman" w:hAnsi="Times New Roman" w:eastAsia="宋体"/>
          <w:lang w:eastAsia="zh-CN"/>
        </w:rPr>
        <w:br w:type="page"/>
      </w:r>
    </w:p>
    <w:p>
      <w:pPr>
        <w:rPr>
          <w:rFonts w:ascii="Times New Roman" w:hAnsi="Times New Roman"/>
        </w:rPr>
      </w:pPr>
      <w:r>
        <w:rPr>
          <w:rFonts w:ascii="Times New Roman" w:hAnsi="Times New Roman"/>
        </w:rPr>
        <w:drawing>
          <wp:anchor distT="0" distB="0" distL="114300" distR="114300" simplePos="0" relativeHeight="251668480" behindDoc="1" locked="0" layoutInCell="1" allowOverlap="1">
            <wp:simplePos x="0" y="0"/>
            <wp:positionH relativeFrom="column">
              <wp:posOffset>-2952750</wp:posOffset>
            </wp:positionH>
            <wp:positionV relativeFrom="paragraph">
              <wp:posOffset>-1588770</wp:posOffset>
            </wp:positionV>
            <wp:extent cx="7566660" cy="10699115"/>
            <wp:effectExtent l="0" t="0" r="0" b="0"/>
            <wp:wrapTight wrapText="bothSides">
              <wp:wrapPolygon>
                <wp:start x="0" y="0"/>
                <wp:lineTo x="0" y="21576"/>
                <wp:lineTo x="21535" y="21576"/>
                <wp:lineTo x="21535" y="0"/>
                <wp:lineTo x="0" y="0"/>
              </wp:wrapPolygon>
            </wp:wrapTight>
            <wp:docPr id="16" name="图片 16" descr="IMG_5866(20211125-17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MG_5866(20211125-171613)"/>
                    <pic:cNvPicPr>
                      <a:picLocks noChangeAspect="1"/>
                    </pic:cNvPicPr>
                  </pic:nvPicPr>
                  <pic:blipFill>
                    <a:blip r:embed="rId15"/>
                    <a:stretch>
                      <a:fillRect/>
                    </a:stretch>
                  </pic:blipFill>
                  <pic:spPr>
                    <a:xfrm>
                      <a:off x="0" y="0"/>
                      <a:ext cx="7566660" cy="10699115"/>
                    </a:xfrm>
                    <a:prstGeom prst="rect">
                      <a:avLst/>
                    </a:prstGeom>
                  </pic:spPr>
                </pic:pic>
              </a:graphicData>
            </a:graphic>
          </wp:anchor>
        </w:drawing>
      </w:r>
      <w:r>
        <w:rPr>
          <w:rFonts w:ascii="Times New Roman" w:hAnsi="Times New Roman"/>
        </w:rPr>
        <w:br w:type="page"/>
      </w:r>
    </w:p>
    <w:p>
      <w:pPr>
        <w:pStyle w:val="2"/>
        <w:rPr>
          <w:rFonts w:ascii="Times New Roman" w:hAnsi="Times New Roman" w:eastAsia="黑体" w:cs="黑体"/>
          <w:sz w:val="40"/>
          <w:szCs w:val="30"/>
        </w:rPr>
      </w:pPr>
      <w:r>
        <w:rPr>
          <w:rFonts w:ascii="Times New Roman" w:hAnsi="Times New Roman" w:eastAsia="黑体" w:cs="黑体"/>
          <w:sz w:val="40"/>
          <w:szCs w:val="30"/>
        </w:rPr>
        <w:drawing>
          <wp:anchor distT="0" distB="0" distL="114300" distR="114300" simplePos="0" relativeHeight="251662336" behindDoc="0" locked="0" layoutInCell="1" allowOverlap="1">
            <wp:simplePos x="0" y="0"/>
            <wp:positionH relativeFrom="column">
              <wp:posOffset>-1141095</wp:posOffset>
            </wp:positionH>
            <wp:positionV relativeFrom="paragraph">
              <wp:posOffset>-915670</wp:posOffset>
            </wp:positionV>
            <wp:extent cx="7557135" cy="10687050"/>
            <wp:effectExtent l="19050" t="0" r="5990" b="0"/>
            <wp:wrapNone/>
            <wp:docPr id="65" name="图片 24" descr="2020年质量报告--成都市礼仪职业中学-版权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4" descr="2020年质量报告--成都市礼仪职业中学-版权页.jpg"/>
                    <pic:cNvPicPr>
                      <a:picLocks noChangeAspect="1"/>
                    </pic:cNvPicPr>
                  </pic:nvPicPr>
                  <pic:blipFill>
                    <a:blip r:embed="rId16" cstate="print"/>
                    <a:stretch>
                      <a:fillRect/>
                    </a:stretch>
                  </pic:blipFill>
                  <pic:spPr>
                    <a:xfrm>
                      <a:off x="0" y="0"/>
                      <a:ext cx="7557135" cy="10687050"/>
                    </a:xfrm>
                    <a:prstGeom prst="rect">
                      <a:avLst/>
                    </a:prstGeom>
                  </pic:spPr>
                </pic:pic>
              </a:graphicData>
            </a:graphic>
          </wp:anchor>
        </w:drawing>
      </w:r>
    </w:p>
    <w:p>
      <w:pPr>
        <w:rPr>
          <w:rFonts w:ascii="Times New Roman" w:hAnsi="Times New Roman" w:eastAsia="黑体" w:cs="黑体"/>
          <w:sz w:val="40"/>
          <w:szCs w:val="30"/>
        </w:rPr>
      </w:pPr>
      <w:r>
        <w:rPr>
          <w:rFonts w:ascii="Times New Roman" w:hAnsi="Times New Roman" w:eastAsia="黑体" w:cs="黑体"/>
          <w:sz w:val="40"/>
          <w:szCs w:val="30"/>
        </w:rPr>
        <w:br w:type="page"/>
      </w:r>
    </w:p>
    <w:p>
      <w:pPr>
        <w:pStyle w:val="3"/>
        <w:rPr>
          <w:rFonts w:hint="eastAsia" w:eastAsia="宋体"/>
          <w:lang w:eastAsia="zh-CN"/>
        </w:rPr>
      </w:pPr>
      <w:r>
        <w:rPr>
          <w:rFonts w:hint="eastAsia" w:eastAsia="宋体"/>
          <w:lang w:eastAsia="zh-CN"/>
        </w:rPr>
        <w:drawing>
          <wp:anchor distT="0" distB="0" distL="114300" distR="114300" simplePos="0" relativeHeight="251669504" behindDoc="1" locked="0" layoutInCell="1" allowOverlap="1">
            <wp:simplePos x="0" y="0"/>
            <wp:positionH relativeFrom="column">
              <wp:posOffset>-2345690</wp:posOffset>
            </wp:positionH>
            <wp:positionV relativeFrom="paragraph">
              <wp:posOffset>-1913890</wp:posOffset>
            </wp:positionV>
            <wp:extent cx="7552690" cy="10723880"/>
            <wp:effectExtent l="0" t="0" r="0" b="0"/>
            <wp:wrapTight wrapText="bothSides">
              <wp:wrapPolygon>
                <wp:start x="0" y="0"/>
                <wp:lineTo x="0" y="21564"/>
                <wp:lineTo x="21520" y="21564"/>
                <wp:lineTo x="21520" y="0"/>
                <wp:lineTo x="0" y="0"/>
              </wp:wrapPolygon>
            </wp:wrapTight>
            <wp:docPr id="19" name="图片 19" descr="扫描全能王 2021-11-25 16.38_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扫描全能王 2021-11-25 16.38_1_00"/>
                    <pic:cNvPicPr>
                      <a:picLocks noChangeAspect="1"/>
                    </pic:cNvPicPr>
                  </pic:nvPicPr>
                  <pic:blipFill>
                    <a:blip r:embed="rId17">
                      <a:lum bright="18000"/>
                    </a:blip>
                    <a:srcRect l="4334" r="4436" b="5997"/>
                    <a:stretch>
                      <a:fillRect/>
                    </a:stretch>
                  </pic:blipFill>
                  <pic:spPr>
                    <a:xfrm>
                      <a:off x="0" y="0"/>
                      <a:ext cx="7552690" cy="10723880"/>
                    </a:xfrm>
                    <a:prstGeom prst="rect">
                      <a:avLst/>
                    </a:prstGeom>
                  </pic:spPr>
                </pic:pic>
              </a:graphicData>
            </a:graphic>
          </wp:anchor>
        </w:drawing>
      </w:r>
    </w:p>
    <w:p>
      <w:pPr>
        <w:rPr>
          <w:rFonts w:ascii="Times New Roman" w:hAnsi="Times New Roman"/>
        </w:rPr>
      </w:pPr>
      <w:r>
        <w:rPr>
          <w:rFonts w:ascii="Times New Roman" w:hAnsi="Times New Roman"/>
        </w:rPr>
        <mc:AlternateContent>
          <mc:Choice Requires="wps">
            <w:drawing>
              <wp:anchor distT="0" distB="0" distL="114300" distR="114300" simplePos="0" relativeHeight="251663360" behindDoc="0" locked="0" layoutInCell="1" allowOverlap="1">
                <wp:simplePos x="0" y="0"/>
                <wp:positionH relativeFrom="column">
                  <wp:posOffset>160655</wp:posOffset>
                </wp:positionH>
                <wp:positionV relativeFrom="paragraph">
                  <wp:posOffset>1397000</wp:posOffset>
                </wp:positionV>
                <wp:extent cx="4895850" cy="6329680"/>
                <wp:effectExtent l="0" t="0" r="6350" b="20320"/>
                <wp:wrapNone/>
                <wp:docPr id="30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895850" cy="6329680"/>
                        </a:xfrm>
                        <a:prstGeom prst="rect">
                          <a:avLst/>
                        </a:prstGeom>
                        <a:solidFill>
                          <a:srgbClr val="FFFFFF"/>
                        </a:solidFill>
                        <a:ln w="9525">
                          <a:noFill/>
                          <a:miter lim="800000"/>
                        </a:ln>
                        <a:effectLst/>
                      </wps:spPr>
                      <wps:txbx>
                        <w:txbxContent>
                          <w:p>
                            <w:pPr>
                              <w:spacing w:line="360" w:lineRule="auto"/>
                              <w:ind w:firstLine="560" w:firstLineChars="200"/>
                              <w:rPr>
                                <w:rFonts w:ascii="宋体" w:hAnsi="宋体"/>
                                <w:sz w:val="28"/>
                                <w:szCs w:val="28"/>
                                <w:highlight w:val="none"/>
                              </w:rPr>
                            </w:pPr>
                            <w:r>
                              <w:rPr>
                                <w:rFonts w:hint="eastAsia" w:ascii="宋体" w:hAnsi="宋体"/>
                                <w:sz w:val="28"/>
                                <w:szCs w:val="28"/>
                              </w:rPr>
                              <w:t>海西蒙古族藏族自治州职业技术学校始终坚持“立德树人，创业创新”的办学理念，深入践行“德育为先、德才兼备，适应发展、知行合一”的育人目标，在州委、州政府的坚强领导下，在省、州教育部门的关心指导下，不断推动学校与经济社会同步发展，担当时代赋予的使命和责任，努力办好人民满意</w:t>
                            </w:r>
                            <w:r>
                              <w:rPr>
                                <w:rFonts w:hint="eastAsia" w:ascii="宋体" w:hAnsi="宋体"/>
                                <w:sz w:val="28"/>
                                <w:szCs w:val="28"/>
                                <w:highlight w:val="none"/>
                              </w:rPr>
                              <w:t>的职业教育。</w:t>
                            </w:r>
                          </w:p>
                          <w:p>
                            <w:pPr>
                              <w:spacing w:line="360" w:lineRule="auto"/>
                              <w:ind w:firstLine="560" w:firstLineChars="200"/>
                              <w:rPr>
                                <w:rFonts w:hint="eastAsia" w:ascii="宋体" w:hAnsi="宋体"/>
                                <w:sz w:val="28"/>
                                <w:szCs w:val="28"/>
                                <w:highlight w:val="none"/>
                              </w:rPr>
                            </w:pPr>
                            <w:r>
                              <w:rPr>
                                <w:rFonts w:hint="eastAsia" w:ascii="宋体" w:hAnsi="宋体"/>
                                <w:sz w:val="28"/>
                                <w:szCs w:val="28"/>
                                <w:highlight w:val="none"/>
                              </w:rPr>
                              <w:t>根据教育部《关于做好20</w:t>
                            </w:r>
                            <w:r>
                              <w:rPr>
                                <w:rFonts w:hint="eastAsia" w:ascii="宋体" w:hAnsi="宋体"/>
                                <w:sz w:val="28"/>
                                <w:szCs w:val="28"/>
                                <w:highlight w:val="none"/>
                                <w:lang w:val="en-US" w:eastAsia="zh-CN"/>
                              </w:rPr>
                              <w:t>2</w:t>
                            </w:r>
                            <w:r>
                              <w:rPr>
                                <w:rFonts w:hint="default" w:ascii="宋体" w:hAnsi="宋体"/>
                                <w:sz w:val="28"/>
                                <w:szCs w:val="28"/>
                                <w:highlight w:val="none"/>
                                <w:lang w:val="en-US" w:eastAsia="zh-CN"/>
                              </w:rPr>
                              <w:t>2</w:t>
                            </w:r>
                            <w:r>
                              <w:rPr>
                                <w:rFonts w:hint="eastAsia" w:ascii="宋体" w:hAnsi="宋体"/>
                                <w:sz w:val="28"/>
                                <w:szCs w:val="28"/>
                                <w:highlight w:val="none"/>
                              </w:rPr>
                              <w:t>年中等职业教育质量报告编制、发布和报送工作的通知》（教职成司函〔202</w:t>
                            </w:r>
                            <w:r>
                              <w:rPr>
                                <w:rFonts w:hint="eastAsia" w:ascii="宋体" w:hAnsi="宋体"/>
                                <w:sz w:val="28"/>
                                <w:szCs w:val="28"/>
                                <w:highlight w:val="none"/>
                                <w:lang w:val="en-US" w:eastAsia="zh-CN"/>
                              </w:rPr>
                              <w:t>1</w:t>
                            </w:r>
                            <w:r>
                              <w:rPr>
                                <w:rFonts w:hint="eastAsia" w:ascii="宋体" w:hAnsi="宋体"/>
                                <w:sz w:val="28"/>
                                <w:szCs w:val="28"/>
                                <w:highlight w:val="none"/>
                              </w:rPr>
                              <w:t>〕3</w:t>
                            </w:r>
                            <w:r>
                              <w:rPr>
                                <w:rFonts w:hint="eastAsia" w:ascii="宋体" w:hAnsi="宋体"/>
                                <w:sz w:val="28"/>
                                <w:szCs w:val="28"/>
                                <w:highlight w:val="none"/>
                                <w:lang w:val="en-US" w:eastAsia="zh-CN"/>
                              </w:rPr>
                              <w:t>7</w:t>
                            </w:r>
                            <w:r>
                              <w:rPr>
                                <w:rFonts w:hint="eastAsia" w:ascii="宋体" w:hAnsi="宋体"/>
                                <w:sz w:val="28"/>
                                <w:szCs w:val="28"/>
                                <w:highlight w:val="none"/>
                              </w:rPr>
                              <w:t>号）的文件精神，学校成立了202</w:t>
                            </w:r>
                            <w:r>
                              <w:rPr>
                                <w:rFonts w:hint="eastAsia" w:ascii="宋体" w:hAnsi="宋体"/>
                                <w:sz w:val="28"/>
                                <w:szCs w:val="28"/>
                                <w:highlight w:val="none"/>
                                <w:lang w:val="en-US" w:eastAsia="zh-CN"/>
                              </w:rPr>
                              <w:t>1</w:t>
                            </w:r>
                            <w:r>
                              <w:rPr>
                                <w:rFonts w:hint="eastAsia" w:ascii="宋体" w:hAnsi="宋体"/>
                                <w:sz w:val="28"/>
                                <w:szCs w:val="28"/>
                                <w:highlight w:val="none"/>
                              </w:rPr>
                              <w:t>年质量年度报告编制工作小组，从学校基本情况、学生发展、质量保障措施、校企合作、社会贡献、举办者履责、特色创新、主要问题及改进措施等八个方面认真总结本学年工作，形成了《海西蒙古族藏族自治州职业技术学校质量年度报告（202</w:t>
                            </w:r>
                            <w:r>
                              <w:rPr>
                                <w:rFonts w:hint="eastAsia" w:ascii="宋体" w:hAnsi="宋体"/>
                                <w:sz w:val="28"/>
                                <w:szCs w:val="28"/>
                                <w:highlight w:val="none"/>
                                <w:lang w:val="en-US" w:eastAsia="zh-CN"/>
                              </w:rPr>
                              <w:t>1</w:t>
                            </w:r>
                            <w:r>
                              <w:rPr>
                                <w:rFonts w:hint="eastAsia" w:ascii="宋体" w:hAnsi="宋体"/>
                                <w:sz w:val="28"/>
                                <w:szCs w:val="28"/>
                                <w:highlight w:val="none"/>
                              </w:rPr>
                              <w:t>）》，主动向社会公开办学信息，积极回应社会关切。</w:t>
                            </w:r>
                          </w:p>
                          <w:p>
                            <w:pPr>
                              <w:spacing w:line="360" w:lineRule="auto"/>
                              <w:ind w:firstLine="560" w:firstLineChars="200"/>
                              <w:rPr>
                                <w:rFonts w:hint="eastAsia" w:ascii="宋体" w:hAnsi="宋体"/>
                                <w:sz w:val="28"/>
                                <w:szCs w:val="28"/>
                              </w:rPr>
                            </w:pPr>
                            <w:r>
                              <w:rPr>
                                <w:rFonts w:hint="eastAsia" w:ascii="宋体" w:hAnsi="宋体"/>
                                <w:sz w:val="28"/>
                                <w:szCs w:val="28"/>
                              </w:rPr>
                              <w:t>欢迎政府主管部门、行业企业、学生家长和社会各界人士批评指正!</w:t>
                            </w:r>
                          </w:p>
                          <w:p>
                            <w:pPr>
                              <w:pStyle w:val="2"/>
                            </w:pP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2.65pt;margin-top:110pt;height:498.4pt;width:385.5pt;z-index:251663360;mso-width-relative:page;mso-height-relative:page;" fillcolor="#FFFFFF" filled="t" stroked="f" coordsize="21600,21600" o:gfxdata="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NF4lVdgAAAALAQAADwAAAAAAAAABACAAAAAi&#10;AAAAZHJzL2Rvd25yZXYueG1sUEsBAhQAFAAAAAgAh07iQEgUgKVDAgAAYwQAAA4AAAAAAAAAAQAg&#10;AAAAJwEAAGRycy9lMm9Eb2MueG1sUEsFBgAAAAAGAAYAWQEAANwFAAAAAA==&#10;">
                <v:fill on="t" focussize="0,0"/>
                <v:stroke on="f" miterlimit="8" joinstyle="miter"/>
                <v:imagedata o:title=""/>
                <o:lock v:ext="edit" aspectratio="f"/>
                <v:textbox>
                  <w:txbxContent>
                    <w:p>
                      <w:pPr>
                        <w:spacing w:line="360" w:lineRule="auto"/>
                        <w:ind w:firstLine="560" w:firstLineChars="200"/>
                        <w:rPr>
                          <w:rFonts w:ascii="宋体" w:hAnsi="宋体"/>
                          <w:sz w:val="28"/>
                          <w:szCs w:val="28"/>
                          <w:highlight w:val="none"/>
                        </w:rPr>
                      </w:pPr>
                      <w:r>
                        <w:rPr>
                          <w:rFonts w:hint="eastAsia" w:ascii="宋体" w:hAnsi="宋体"/>
                          <w:sz w:val="28"/>
                          <w:szCs w:val="28"/>
                        </w:rPr>
                        <w:t>海西蒙古族藏族自治州职业技术学校始终坚持“立德树人，创业创新”的办学理念，深入践行“德育为先、德才兼备，适应发展、知行合一”的育人目标，在州委、州政府的坚强领导下，在省、州教育部门的关心指导下，不断推动学校与经济社会同步发展，担当时代赋予的使命和责任，努力办好人民满意</w:t>
                      </w:r>
                      <w:r>
                        <w:rPr>
                          <w:rFonts w:hint="eastAsia" w:ascii="宋体" w:hAnsi="宋体"/>
                          <w:sz w:val="28"/>
                          <w:szCs w:val="28"/>
                          <w:highlight w:val="none"/>
                        </w:rPr>
                        <w:t>的职业教育。</w:t>
                      </w:r>
                    </w:p>
                    <w:p>
                      <w:pPr>
                        <w:spacing w:line="360" w:lineRule="auto"/>
                        <w:ind w:firstLine="560" w:firstLineChars="200"/>
                        <w:rPr>
                          <w:rFonts w:hint="eastAsia" w:ascii="宋体" w:hAnsi="宋体"/>
                          <w:sz w:val="28"/>
                          <w:szCs w:val="28"/>
                          <w:highlight w:val="none"/>
                        </w:rPr>
                      </w:pPr>
                      <w:r>
                        <w:rPr>
                          <w:rFonts w:hint="eastAsia" w:ascii="宋体" w:hAnsi="宋体"/>
                          <w:sz w:val="28"/>
                          <w:szCs w:val="28"/>
                          <w:highlight w:val="none"/>
                        </w:rPr>
                        <w:t>根据教育部《关于做好20</w:t>
                      </w:r>
                      <w:r>
                        <w:rPr>
                          <w:rFonts w:hint="eastAsia" w:ascii="宋体" w:hAnsi="宋体"/>
                          <w:sz w:val="28"/>
                          <w:szCs w:val="28"/>
                          <w:highlight w:val="none"/>
                          <w:lang w:val="en-US" w:eastAsia="zh-CN"/>
                        </w:rPr>
                        <w:t>2</w:t>
                      </w:r>
                      <w:r>
                        <w:rPr>
                          <w:rFonts w:hint="default" w:ascii="宋体" w:hAnsi="宋体"/>
                          <w:sz w:val="28"/>
                          <w:szCs w:val="28"/>
                          <w:highlight w:val="none"/>
                          <w:lang w:val="en-US" w:eastAsia="zh-CN"/>
                        </w:rPr>
                        <w:t>2</w:t>
                      </w:r>
                      <w:r>
                        <w:rPr>
                          <w:rFonts w:hint="eastAsia" w:ascii="宋体" w:hAnsi="宋体"/>
                          <w:sz w:val="28"/>
                          <w:szCs w:val="28"/>
                          <w:highlight w:val="none"/>
                        </w:rPr>
                        <w:t>年中等职业教育质量报告编制、发布和报送工作的通知》（教职成司函〔202</w:t>
                      </w:r>
                      <w:r>
                        <w:rPr>
                          <w:rFonts w:hint="eastAsia" w:ascii="宋体" w:hAnsi="宋体"/>
                          <w:sz w:val="28"/>
                          <w:szCs w:val="28"/>
                          <w:highlight w:val="none"/>
                          <w:lang w:val="en-US" w:eastAsia="zh-CN"/>
                        </w:rPr>
                        <w:t>1</w:t>
                      </w:r>
                      <w:r>
                        <w:rPr>
                          <w:rFonts w:hint="eastAsia" w:ascii="宋体" w:hAnsi="宋体"/>
                          <w:sz w:val="28"/>
                          <w:szCs w:val="28"/>
                          <w:highlight w:val="none"/>
                        </w:rPr>
                        <w:t>〕3</w:t>
                      </w:r>
                      <w:r>
                        <w:rPr>
                          <w:rFonts w:hint="eastAsia" w:ascii="宋体" w:hAnsi="宋体"/>
                          <w:sz w:val="28"/>
                          <w:szCs w:val="28"/>
                          <w:highlight w:val="none"/>
                          <w:lang w:val="en-US" w:eastAsia="zh-CN"/>
                        </w:rPr>
                        <w:t>7</w:t>
                      </w:r>
                      <w:r>
                        <w:rPr>
                          <w:rFonts w:hint="eastAsia" w:ascii="宋体" w:hAnsi="宋体"/>
                          <w:sz w:val="28"/>
                          <w:szCs w:val="28"/>
                          <w:highlight w:val="none"/>
                        </w:rPr>
                        <w:t>号）的文件精神，学校成立了202</w:t>
                      </w:r>
                      <w:r>
                        <w:rPr>
                          <w:rFonts w:hint="eastAsia" w:ascii="宋体" w:hAnsi="宋体"/>
                          <w:sz w:val="28"/>
                          <w:szCs w:val="28"/>
                          <w:highlight w:val="none"/>
                          <w:lang w:val="en-US" w:eastAsia="zh-CN"/>
                        </w:rPr>
                        <w:t>1</w:t>
                      </w:r>
                      <w:r>
                        <w:rPr>
                          <w:rFonts w:hint="eastAsia" w:ascii="宋体" w:hAnsi="宋体"/>
                          <w:sz w:val="28"/>
                          <w:szCs w:val="28"/>
                          <w:highlight w:val="none"/>
                        </w:rPr>
                        <w:t>年质量年度报告编制工作小组，从学校基本情况、学生发展、质量保障措施、校企合作、社会贡献、举办者履责、特色创新、主要问题及改进措施等八个方面认真总结本学年工作，形成了《海西蒙古族藏族自治州职业技术学校质量年度报告（202</w:t>
                      </w:r>
                      <w:r>
                        <w:rPr>
                          <w:rFonts w:hint="eastAsia" w:ascii="宋体" w:hAnsi="宋体"/>
                          <w:sz w:val="28"/>
                          <w:szCs w:val="28"/>
                          <w:highlight w:val="none"/>
                          <w:lang w:val="en-US" w:eastAsia="zh-CN"/>
                        </w:rPr>
                        <w:t>1</w:t>
                      </w:r>
                      <w:r>
                        <w:rPr>
                          <w:rFonts w:hint="eastAsia" w:ascii="宋体" w:hAnsi="宋体"/>
                          <w:sz w:val="28"/>
                          <w:szCs w:val="28"/>
                          <w:highlight w:val="none"/>
                        </w:rPr>
                        <w:t>）》，主动向社会公开办学信息，积极回应社会关切。</w:t>
                      </w:r>
                    </w:p>
                    <w:p>
                      <w:pPr>
                        <w:spacing w:line="360" w:lineRule="auto"/>
                        <w:ind w:firstLine="560" w:firstLineChars="200"/>
                        <w:rPr>
                          <w:rFonts w:hint="eastAsia" w:ascii="宋体" w:hAnsi="宋体"/>
                          <w:sz w:val="28"/>
                          <w:szCs w:val="28"/>
                        </w:rPr>
                      </w:pPr>
                      <w:r>
                        <w:rPr>
                          <w:rFonts w:hint="eastAsia" w:ascii="宋体" w:hAnsi="宋体"/>
                          <w:sz w:val="28"/>
                          <w:szCs w:val="28"/>
                        </w:rPr>
                        <w:t>欢迎政府主管部门、行业企业、学生家长和社会各界人士批评指正!</w:t>
                      </w:r>
                    </w:p>
                    <w:p>
                      <w:pPr>
                        <w:pStyle w:val="2"/>
                      </w:pPr>
                    </w:p>
                  </w:txbxContent>
                </v:textbox>
              </v:shape>
            </w:pict>
          </mc:Fallback>
        </mc:AlternateContent>
      </w:r>
      <w:r>
        <w:rPr>
          <w:rFonts w:hint="eastAsia" w:ascii="Times New Roman" w:hAnsi="Times New Roman"/>
        </w:rPr>
        <w:drawing>
          <wp:anchor distT="0" distB="0" distL="114300" distR="114300" simplePos="0" relativeHeight="251661312" behindDoc="1" locked="0" layoutInCell="1" allowOverlap="1">
            <wp:simplePos x="0" y="0"/>
            <wp:positionH relativeFrom="page">
              <wp:posOffset>-1905</wp:posOffset>
            </wp:positionH>
            <wp:positionV relativeFrom="page">
              <wp:posOffset>1905</wp:posOffset>
            </wp:positionV>
            <wp:extent cx="7559675" cy="10691495"/>
            <wp:effectExtent l="0" t="0" r="3175" b="14605"/>
            <wp:wrapThrough wrapText="bothSides">
              <wp:wrapPolygon>
                <wp:start x="0" y="0"/>
                <wp:lineTo x="0" y="21553"/>
                <wp:lineTo x="21555" y="21553"/>
                <wp:lineTo x="21555" y="0"/>
                <wp:lineTo x="0" y="0"/>
              </wp:wrapPolygon>
            </wp:wrapThrough>
            <wp:docPr id="66" name="图片 66" descr="2018年质量报告--成都市礼仪职业中学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2018年质量报告--成都市礼仪职业中学7"/>
                    <pic:cNvPicPr>
                      <a:picLocks noChangeAspect="1"/>
                    </pic:cNvPicPr>
                  </pic:nvPicPr>
                  <pic:blipFill>
                    <a:blip r:embed="rId18" cstate="print"/>
                    <a:stretch>
                      <a:fillRect/>
                    </a:stretch>
                  </pic:blipFill>
                  <pic:spPr>
                    <a:xfrm>
                      <a:off x="0" y="0"/>
                      <a:ext cx="7559675" cy="10691495"/>
                    </a:xfrm>
                    <a:prstGeom prst="rect">
                      <a:avLst/>
                    </a:prstGeom>
                  </pic:spPr>
                </pic:pic>
              </a:graphicData>
            </a:graphic>
          </wp:anchor>
        </w:drawing>
      </w:r>
    </w:p>
    <w:p>
      <w:pPr>
        <w:ind w:left="420"/>
        <w:jc w:val="center"/>
        <w:rPr>
          <w:rFonts w:ascii="Times New Roman" w:hAnsi="Times New Roman"/>
          <w:b/>
          <w:bCs/>
          <w:color w:val="C00000"/>
          <w:sz w:val="36"/>
          <w:szCs w:val="36"/>
        </w:rPr>
      </w:pPr>
      <w:r>
        <w:drawing>
          <wp:inline distT="0" distB="0" distL="114300" distR="114300">
            <wp:extent cx="196215" cy="196215"/>
            <wp:effectExtent l="0" t="0" r="6985" b="6985"/>
            <wp:docPr id="17" name="图片 1" descr="页眉元素-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页眉元素-01.png"/>
                    <pic:cNvPicPr>
                      <a:picLocks noChangeAspect="1"/>
                    </pic:cNvPicPr>
                  </pic:nvPicPr>
                  <pic:blipFill>
                    <a:blip r:embed="rId19"/>
                    <a:stretch>
                      <a:fillRect/>
                    </a:stretch>
                  </pic:blipFill>
                  <pic:spPr>
                    <a:xfrm>
                      <a:off x="0" y="0"/>
                      <a:ext cx="196215" cy="196215"/>
                    </a:xfrm>
                    <a:prstGeom prst="rect">
                      <a:avLst/>
                    </a:prstGeom>
                    <a:noFill/>
                    <a:ln w="9525">
                      <a:noFill/>
                    </a:ln>
                  </pic:spPr>
                </pic:pic>
              </a:graphicData>
            </a:graphic>
          </wp:inline>
        </w:drawing>
      </w:r>
      <w:r>
        <w:rPr>
          <w:rFonts w:hint="eastAsia"/>
        </w:rPr>
        <w:t xml:space="preserve"> </w:t>
      </w:r>
      <w:r>
        <w:rPr>
          <w:rFonts w:ascii="Times New Roman" w:hAnsi="Times New Roman"/>
          <w:b/>
          <w:bCs/>
          <w:color w:val="C00000"/>
          <w:sz w:val="36"/>
          <w:szCs w:val="36"/>
        </w:rPr>
        <w:t>目   录</w:t>
      </w:r>
      <w:r>
        <w:rPr>
          <w:rFonts w:hint="eastAsia" w:ascii="Times New Roman" w:hAnsi="Times New Roman"/>
          <w:b/>
          <w:bCs/>
          <w:color w:val="C00000"/>
          <w:sz w:val="36"/>
          <w:szCs w:val="36"/>
        </w:rPr>
        <w:t xml:space="preserve"> </w:t>
      </w:r>
      <w:r>
        <w:drawing>
          <wp:inline distT="0" distB="0" distL="0" distR="0">
            <wp:extent cx="178435" cy="179705"/>
            <wp:effectExtent l="19050" t="0" r="0" b="0"/>
            <wp:docPr id="26" name="图片 33" descr="页眉元素-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33" descr="页眉元素-01.png"/>
                    <pic:cNvPicPr>
                      <a:picLocks noChangeAspect="1"/>
                    </pic:cNvPicPr>
                  </pic:nvPicPr>
                  <pic:blipFill>
                    <a:blip r:embed="rId19" cstate="print"/>
                    <a:stretch>
                      <a:fillRect/>
                    </a:stretch>
                  </pic:blipFill>
                  <pic:spPr>
                    <a:xfrm>
                      <a:off x="0" y="0"/>
                      <a:ext cx="178737" cy="180000"/>
                    </a:xfrm>
                    <a:prstGeom prst="rect">
                      <a:avLst/>
                    </a:prstGeom>
                  </pic:spPr>
                </pic:pic>
              </a:graphicData>
            </a:graphic>
          </wp:inline>
        </w:drawing>
      </w:r>
    </w:p>
    <w:p>
      <w:pPr>
        <w:pStyle w:val="12"/>
        <w:tabs>
          <w:tab w:val="right" w:leader="dot" w:pos="8306"/>
        </w:tabs>
      </w:pPr>
      <w:r>
        <w:rPr>
          <w:rFonts w:ascii="Times New Roman" w:hAnsi="Times New Roman"/>
        </w:rPr>
        <w:fldChar w:fldCharType="begin"/>
      </w:r>
      <w:r>
        <w:rPr>
          <w:rFonts w:ascii="Times New Roman" w:hAnsi="Times New Roman"/>
        </w:rPr>
        <w:instrText xml:space="preserve"> TOC \o "1-3" \h \z \u </w:instrText>
      </w:r>
      <w:r>
        <w:rPr>
          <w:rFonts w:ascii="Times New Roman" w:hAnsi="Times New Roman"/>
        </w:rPr>
        <w:fldChar w:fldCharType="separate"/>
      </w:r>
      <w:r>
        <w:rPr>
          <w:rFonts w:ascii="Times New Roman" w:hAnsi="Times New Roman"/>
        </w:rPr>
        <w:fldChar w:fldCharType="begin"/>
      </w:r>
      <w:r>
        <w:rPr>
          <w:rFonts w:ascii="Times New Roman" w:hAnsi="Times New Roman"/>
        </w:rPr>
        <w:instrText xml:space="preserve"> HYPERLINK \l _Toc27741 </w:instrText>
      </w:r>
      <w:r>
        <w:rPr>
          <w:rFonts w:ascii="Times New Roman" w:hAnsi="Times New Roman"/>
        </w:rPr>
        <w:fldChar w:fldCharType="separate"/>
      </w:r>
      <w:r>
        <w:rPr>
          <w:rFonts w:ascii="Times New Roman" w:hAnsi="Times New Roman"/>
        </w:rPr>
        <w:t>一、学校情况</w:t>
      </w:r>
      <w:r>
        <w:tab/>
      </w:r>
      <w:r>
        <w:fldChar w:fldCharType="begin"/>
      </w:r>
      <w:r>
        <w:instrText xml:space="preserve"> PAGEREF _Toc27741 \h </w:instrText>
      </w:r>
      <w:r>
        <w:fldChar w:fldCharType="separate"/>
      </w:r>
      <w:r>
        <w:t>1</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_Toc204 </w:instrText>
      </w:r>
      <w:r>
        <w:rPr>
          <w:rFonts w:ascii="Times New Roman" w:hAnsi="Times New Roman"/>
        </w:rPr>
        <w:fldChar w:fldCharType="separate"/>
      </w:r>
      <w:r>
        <w:rPr>
          <w:rFonts w:ascii="Times New Roman" w:hAnsi="Times New Roman"/>
        </w:rPr>
        <w:t>（一）学校概况</w:t>
      </w:r>
      <w:r>
        <w:tab/>
      </w:r>
      <w:r>
        <w:fldChar w:fldCharType="begin"/>
      </w:r>
      <w:r>
        <w:instrText xml:space="preserve"> PAGEREF _Toc204 \h </w:instrText>
      </w:r>
      <w:r>
        <w:fldChar w:fldCharType="separate"/>
      </w:r>
      <w:r>
        <w:t>1</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_Toc32523 </w:instrText>
      </w:r>
      <w:r>
        <w:rPr>
          <w:rFonts w:ascii="Times New Roman" w:hAnsi="Times New Roman"/>
        </w:rPr>
        <w:fldChar w:fldCharType="separate"/>
      </w:r>
      <w:r>
        <w:rPr>
          <w:rFonts w:ascii="Times New Roman" w:hAnsi="Times New Roman"/>
        </w:rPr>
        <w:t>（二）学生情况</w:t>
      </w:r>
      <w:r>
        <w:tab/>
      </w:r>
      <w:r>
        <w:fldChar w:fldCharType="begin"/>
      </w:r>
      <w:r>
        <w:instrText xml:space="preserve"> PAGEREF _Toc32523 \h </w:instrText>
      </w:r>
      <w:r>
        <w:fldChar w:fldCharType="separate"/>
      </w:r>
      <w:r>
        <w:t>2</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_Toc11158 </w:instrText>
      </w:r>
      <w:r>
        <w:rPr>
          <w:rFonts w:ascii="Times New Roman" w:hAnsi="Times New Roman"/>
        </w:rPr>
        <w:fldChar w:fldCharType="separate"/>
      </w:r>
      <w:r>
        <w:rPr>
          <w:rFonts w:ascii="Times New Roman" w:hAnsi="Times New Roman"/>
        </w:rPr>
        <w:t>（三）教师队伍</w:t>
      </w:r>
      <w:r>
        <w:tab/>
      </w:r>
      <w:r>
        <w:fldChar w:fldCharType="begin"/>
      </w:r>
      <w:r>
        <w:instrText xml:space="preserve"> PAGEREF _Toc11158 \h </w:instrText>
      </w:r>
      <w:r>
        <w:fldChar w:fldCharType="separate"/>
      </w:r>
      <w:r>
        <w:t>3</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_Toc25169 </w:instrText>
      </w:r>
      <w:r>
        <w:rPr>
          <w:rFonts w:ascii="Times New Roman" w:hAnsi="Times New Roman"/>
        </w:rPr>
        <w:fldChar w:fldCharType="separate"/>
      </w:r>
      <w:r>
        <w:rPr>
          <w:rFonts w:ascii="Times New Roman" w:hAnsi="Times New Roman"/>
        </w:rPr>
        <w:t>（四）设施设备</w:t>
      </w:r>
      <w:r>
        <w:tab/>
      </w:r>
      <w:r>
        <w:fldChar w:fldCharType="begin"/>
      </w:r>
      <w:r>
        <w:instrText xml:space="preserve"> PAGEREF _Toc25169 \h </w:instrText>
      </w:r>
      <w:r>
        <w:fldChar w:fldCharType="separate"/>
      </w:r>
      <w:r>
        <w:t>5</w:t>
      </w:r>
      <w:r>
        <w:fldChar w:fldCharType="end"/>
      </w:r>
      <w:r>
        <w:rPr>
          <w:rFonts w:ascii="Times New Roman" w:hAnsi="Times New Roman"/>
        </w:rPr>
        <w:fldChar w:fldCharType="end"/>
      </w:r>
    </w:p>
    <w:p>
      <w:pPr>
        <w:pStyle w:val="12"/>
        <w:tabs>
          <w:tab w:val="right" w:leader="dot" w:pos="8306"/>
        </w:tabs>
      </w:pPr>
      <w:r>
        <w:rPr>
          <w:rFonts w:ascii="Times New Roman" w:hAnsi="Times New Roman"/>
        </w:rPr>
        <w:fldChar w:fldCharType="begin"/>
      </w:r>
      <w:r>
        <w:rPr>
          <w:rFonts w:ascii="Times New Roman" w:hAnsi="Times New Roman"/>
        </w:rPr>
        <w:instrText xml:space="preserve"> HYPERLINK \l _Toc12925 </w:instrText>
      </w:r>
      <w:r>
        <w:rPr>
          <w:rFonts w:ascii="Times New Roman" w:hAnsi="Times New Roman"/>
        </w:rPr>
        <w:fldChar w:fldCharType="separate"/>
      </w:r>
      <w:r>
        <w:rPr>
          <w:rFonts w:ascii="Times New Roman" w:hAnsi="Times New Roman"/>
        </w:rPr>
        <w:t>二、学生发展</w:t>
      </w:r>
      <w:r>
        <w:tab/>
      </w:r>
      <w:r>
        <w:fldChar w:fldCharType="begin"/>
      </w:r>
      <w:r>
        <w:instrText xml:space="preserve"> PAGEREF _Toc12925 \h </w:instrText>
      </w:r>
      <w:r>
        <w:fldChar w:fldCharType="separate"/>
      </w:r>
      <w:r>
        <w:t>11</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_Toc10387 </w:instrText>
      </w:r>
      <w:r>
        <w:rPr>
          <w:rFonts w:ascii="Times New Roman" w:hAnsi="Times New Roman"/>
        </w:rPr>
        <w:fldChar w:fldCharType="separate"/>
      </w:r>
      <w:r>
        <w:rPr>
          <w:rFonts w:ascii="Times New Roman" w:hAnsi="Times New Roman"/>
        </w:rPr>
        <w:t>（一）学生素质</w:t>
      </w:r>
      <w:r>
        <w:tab/>
      </w:r>
      <w:r>
        <w:fldChar w:fldCharType="begin"/>
      </w:r>
      <w:r>
        <w:instrText xml:space="preserve"> PAGEREF _Toc10387 \h </w:instrText>
      </w:r>
      <w:r>
        <w:fldChar w:fldCharType="separate"/>
      </w:r>
      <w:r>
        <w:t>11</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_Toc1911 </w:instrText>
      </w:r>
      <w:r>
        <w:rPr>
          <w:rFonts w:ascii="Times New Roman" w:hAnsi="Times New Roman"/>
        </w:rPr>
        <w:fldChar w:fldCharType="separate"/>
      </w:r>
      <w:r>
        <w:rPr>
          <w:rFonts w:ascii="Times New Roman" w:hAnsi="Times New Roman"/>
        </w:rPr>
        <w:t>（二）在校体验</w:t>
      </w:r>
      <w:r>
        <w:tab/>
      </w:r>
      <w:r>
        <w:fldChar w:fldCharType="begin"/>
      </w:r>
      <w:r>
        <w:instrText xml:space="preserve"> PAGEREF _Toc1911 \h </w:instrText>
      </w:r>
      <w:r>
        <w:fldChar w:fldCharType="separate"/>
      </w:r>
      <w:r>
        <w:t>12</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_Toc2183 </w:instrText>
      </w:r>
      <w:r>
        <w:rPr>
          <w:rFonts w:ascii="Times New Roman" w:hAnsi="Times New Roman"/>
        </w:rPr>
        <w:fldChar w:fldCharType="separate"/>
      </w:r>
      <w:r>
        <w:rPr>
          <w:rFonts w:ascii="Times New Roman" w:hAnsi="Times New Roman"/>
        </w:rPr>
        <w:t>（三）资助情况</w:t>
      </w:r>
      <w:r>
        <w:tab/>
      </w:r>
      <w:r>
        <w:fldChar w:fldCharType="begin"/>
      </w:r>
      <w:r>
        <w:instrText xml:space="preserve"> PAGEREF _Toc2183 \h </w:instrText>
      </w:r>
      <w:r>
        <w:fldChar w:fldCharType="separate"/>
      </w:r>
      <w:r>
        <w:t>13</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_Toc18578 </w:instrText>
      </w:r>
      <w:r>
        <w:rPr>
          <w:rFonts w:ascii="Times New Roman" w:hAnsi="Times New Roman"/>
        </w:rPr>
        <w:fldChar w:fldCharType="separate"/>
      </w:r>
      <w:r>
        <w:rPr>
          <w:rFonts w:ascii="Times New Roman" w:hAnsi="Times New Roman"/>
        </w:rPr>
        <w:t>（四）就业质量</w:t>
      </w:r>
      <w:r>
        <w:tab/>
      </w:r>
      <w:r>
        <w:fldChar w:fldCharType="begin"/>
      </w:r>
      <w:r>
        <w:instrText xml:space="preserve"> PAGEREF _Toc18578 \h </w:instrText>
      </w:r>
      <w:r>
        <w:fldChar w:fldCharType="separate"/>
      </w:r>
      <w:r>
        <w:t>14</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_Toc10607 </w:instrText>
      </w:r>
      <w:r>
        <w:rPr>
          <w:rFonts w:ascii="Times New Roman" w:hAnsi="Times New Roman"/>
        </w:rPr>
        <w:fldChar w:fldCharType="separate"/>
      </w:r>
      <w:r>
        <w:rPr>
          <w:rFonts w:hint="eastAsia"/>
        </w:rPr>
        <w:t>（五）</w:t>
      </w:r>
      <w:r>
        <w:t>职业发展</w:t>
      </w:r>
      <w:r>
        <w:tab/>
      </w:r>
      <w:r>
        <w:fldChar w:fldCharType="begin"/>
      </w:r>
      <w:r>
        <w:instrText xml:space="preserve"> PAGEREF _Toc10607 \h </w:instrText>
      </w:r>
      <w:r>
        <w:fldChar w:fldCharType="separate"/>
      </w:r>
      <w:r>
        <w:t>15</w:t>
      </w:r>
      <w:r>
        <w:fldChar w:fldCharType="end"/>
      </w:r>
      <w:r>
        <w:rPr>
          <w:rFonts w:ascii="Times New Roman" w:hAnsi="Times New Roman"/>
        </w:rPr>
        <w:fldChar w:fldCharType="end"/>
      </w:r>
    </w:p>
    <w:p>
      <w:pPr>
        <w:pStyle w:val="12"/>
        <w:tabs>
          <w:tab w:val="right" w:leader="dot" w:pos="8306"/>
        </w:tabs>
      </w:pPr>
      <w:r>
        <w:rPr>
          <w:rFonts w:ascii="Times New Roman" w:hAnsi="Times New Roman"/>
        </w:rPr>
        <w:fldChar w:fldCharType="begin"/>
      </w:r>
      <w:r>
        <w:rPr>
          <w:rFonts w:ascii="Times New Roman" w:hAnsi="Times New Roman"/>
        </w:rPr>
        <w:instrText xml:space="preserve"> HYPERLINK \l _Toc9162 </w:instrText>
      </w:r>
      <w:r>
        <w:rPr>
          <w:rFonts w:ascii="Times New Roman" w:hAnsi="Times New Roman"/>
        </w:rPr>
        <w:fldChar w:fldCharType="separate"/>
      </w:r>
      <w:r>
        <w:rPr>
          <w:rFonts w:ascii="Times New Roman" w:hAnsi="Times New Roman"/>
        </w:rPr>
        <w:t>三、质量保障措施</w:t>
      </w:r>
      <w:r>
        <w:tab/>
      </w:r>
      <w:r>
        <w:fldChar w:fldCharType="begin"/>
      </w:r>
      <w:r>
        <w:instrText xml:space="preserve"> PAGEREF _Toc9162 \h </w:instrText>
      </w:r>
      <w:r>
        <w:fldChar w:fldCharType="separate"/>
      </w:r>
      <w:r>
        <w:t>15</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_Toc7698 </w:instrText>
      </w:r>
      <w:r>
        <w:rPr>
          <w:rFonts w:ascii="Times New Roman" w:hAnsi="Times New Roman"/>
        </w:rPr>
        <w:fldChar w:fldCharType="separate"/>
      </w:r>
      <w:r>
        <w:t>（一）专业动态调整</w:t>
      </w:r>
      <w:r>
        <w:tab/>
      </w:r>
      <w:r>
        <w:fldChar w:fldCharType="begin"/>
      </w:r>
      <w:r>
        <w:instrText xml:space="preserve"> PAGEREF _Toc7698 \h </w:instrText>
      </w:r>
      <w:r>
        <w:fldChar w:fldCharType="separate"/>
      </w:r>
      <w:r>
        <w:t>15</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_Toc29342 </w:instrText>
      </w:r>
      <w:r>
        <w:rPr>
          <w:rFonts w:ascii="Times New Roman" w:hAnsi="Times New Roman"/>
        </w:rPr>
        <w:fldChar w:fldCharType="separate"/>
      </w:r>
      <w:r>
        <w:rPr>
          <w:rFonts w:ascii="Times New Roman" w:hAnsi="Times New Roman"/>
        </w:rPr>
        <w:t>（二）教育教学改革</w:t>
      </w:r>
      <w:r>
        <w:tab/>
      </w:r>
      <w:r>
        <w:fldChar w:fldCharType="begin"/>
      </w:r>
      <w:r>
        <w:instrText xml:space="preserve"> PAGEREF _Toc29342 \h </w:instrText>
      </w:r>
      <w:r>
        <w:fldChar w:fldCharType="separate"/>
      </w:r>
      <w:r>
        <w:t>15</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_Toc27773 </w:instrText>
      </w:r>
      <w:r>
        <w:rPr>
          <w:rFonts w:ascii="Times New Roman" w:hAnsi="Times New Roman"/>
        </w:rPr>
        <w:fldChar w:fldCharType="separate"/>
      </w:r>
      <w:r>
        <w:rPr>
          <w:rFonts w:ascii="Times New Roman" w:hAnsi="Times New Roman"/>
        </w:rPr>
        <w:t>（三）教师培养培训</w:t>
      </w:r>
      <w:r>
        <w:tab/>
      </w:r>
      <w:r>
        <w:fldChar w:fldCharType="begin"/>
      </w:r>
      <w:r>
        <w:instrText xml:space="preserve"> PAGEREF _Toc27773 \h </w:instrText>
      </w:r>
      <w:r>
        <w:fldChar w:fldCharType="separate"/>
      </w:r>
      <w:r>
        <w:t>16</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_Toc4938 </w:instrText>
      </w:r>
      <w:r>
        <w:rPr>
          <w:rFonts w:ascii="Times New Roman" w:hAnsi="Times New Roman"/>
        </w:rPr>
        <w:fldChar w:fldCharType="separate"/>
      </w:r>
      <w:r>
        <w:rPr>
          <w:rFonts w:ascii="Times New Roman" w:hAnsi="Times New Roman"/>
        </w:rPr>
        <w:t>（四）规范管理情况</w:t>
      </w:r>
      <w:r>
        <w:tab/>
      </w:r>
      <w:r>
        <w:fldChar w:fldCharType="begin"/>
      </w:r>
      <w:r>
        <w:instrText xml:space="preserve"> PAGEREF _Toc4938 \h </w:instrText>
      </w:r>
      <w:r>
        <w:fldChar w:fldCharType="separate"/>
      </w:r>
      <w:r>
        <w:t>21</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_Toc12502 </w:instrText>
      </w:r>
      <w:r>
        <w:rPr>
          <w:rFonts w:ascii="Times New Roman" w:hAnsi="Times New Roman"/>
        </w:rPr>
        <w:fldChar w:fldCharType="separate"/>
      </w:r>
      <w:r>
        <w:rPr>
          <w:rFonts w:ascii="Times New Roman" w:hAnsi="Times New Roman"/>
        </w:rPr>
        <w:t>（五）德育工作情况</w:t>
      </w:r>
      <w:r>
        <w:tab/>
      </w:r>
      <w:r>
        <w:fldChar w:fldCharType="begin"/>
      </w:r>
      <w:r>
        <w:instrText xml:space="preserve"> PAGEREF _Toc12502 \h </w:instrText>
      </w:r>
      <w:r>
        <w:fldChar w:fldCharType="separate"/>
      </w:r>
      <w:r>
        <w:t>22</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_Toc29901 </w:instrText>
      </w:r>
      <w:r>
        <w:rPr>
          <w:rFonts w:ascii="Times New Roman" w:hAnsi="Times New Roman"/>
        </w:rPr>
        <w:fldChar w:fldCharType="separate"/>
      </w:r>
      <w:r>
        <w:t>（六）党建情况</w:t>
      </w:r>
      <w:r>
        <w:tab/>
      </w:r>
      <w:r>
        <w:fldChar w:fldCharType="begin"/>
      </w:r>
      <w:r>
        <w:instrText xml:space="preserve"> PAGEREF _Toc29901 \h </w:instrText>
      </w:r>
      <w:r>
        <w:fldChar w:fldCharType="separate"/>
      </w:r>
      <w:r>
        <w:t>24</w:t>
      </w:r>
      <w:r>
        <w:fldChar w:fldCharType="end"/>
      </w:r>
      <w:r>
        <w:rPr>
          <w:rFonts w:ascii="Times New Roman" w:hAnsi="Times New Roman"/>
        </w:rPr>
        <w:fldChar w:fldCharType="end"/>
      </w:r>
    </w:p>
    <w:p>
      <w:pPr>
        <w:pStyle w:val="12"/>
        <w:tabs>
          <w:tab w:val="right" w:leader="dot" w:pos="8306"/>
        </w:tabs>
      </w:pPr>
      <w:r>
        <w:rPr>
          <w:rFonts w:ascii="Times New Roman" w:hAnsi="Times New Roman"/>
        </w:rPr>
        <w:fldChar w:fldCharType="begin"/>
      </w:r>
      <w:r>
        <w:rPr>
          <w:rFonts w:ascii="Times New Roman" w:hAnsi="Times New Roman"/>
        </w:rPr>
        <w:instrText xml:space="preserve"> HYPERLINK \l _Toc7111 </w:instrText>
      </w:r>
      <w:r>
        <w:rPr>
          <w:rFonts w:ascii="Times New Roman" w:hAnsi="Times New Roman"/>
        </w:rPr>
        <w:fldChar w:fldCharType="separate"/>
      </w:r>
      <w:r>
        <w:rPr>
          <w:rFonts w:ascii="Times New Roman" w:hAnsi="Times New Roman"/>
        </w:rPr>
        <w:t>四、校企合作</w:t>
      </w:r>
      <w:r>
        <w:tab/>
      </w:r>
      <w:r>
        <w:fldChar w:fldCharType="begin"/>
      </w:r>
      <w:r>
        <w:instrText xml:space="preserve"> PAGEREF _Toc7111 \h </w:instrText>
      </w:r>
      <w:r>
        <w:fldChar w:fldCharType="separate"/>
      </w:r>
      <w:r>
        <w:t>25</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_Toc13350 </w:instrText>
      </w:r>
      <w:r>
        <w:rPr>
          <w:rFonts w:ascii="Times New Roman" w:hAnsi="Times New Roman"/>
        </w:rPr>
        <w:fldChar w:fldCharType="separate"/>
      </w:r>
      <w:r>
        <w:rPr>
          <w:rFonts w:ascii="Times New Roman" w:hAnsi="Times New Roman"/>
        </w:rPr>
        <w:t>（一）校企合作开展情况和效果</w:t>
      </w:r>
      <w:r>
        <w:tab/>
      </w:r>
      <w:r>
        <w:fldChar w:fldCharType="begin"/>
      </w:r>
      <w:r>
        <w:instrText xml:space="preserve"> PAGEREF _Toc13350 \h </w:instrText>
      </w:r>
      <w:r>
        <w:fldChar w:fldCharType="separate"/>
      </w:r>
      <w:r>
        <w:t>25</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_Toc20818 </w:instrText>
      </w:r>
      <w:r>
        <w:rPr>
          <w:rFonts w:ascii="Times New Roman" w:hAnsi="Times New Roman"/>
        </w:rPr>
        <w:fldChar w:fldCharType="separate"/>
      </w:r>
      <w:r>
        <w:rPr>
          <w:rFonts w:ascii="Times New Roman" w:hAnsi="Times New Roman"/>
        </w:rPr>
        <w:t>（二）学生实习情况</w:t>
      </w:r>
      <w:r>
        <w:tab/>
      </w:r>
      <w:r>
        <w:fldChar w:fldCharType="begin"/>
      </w:r>
      <w:r>
        <w:instrText xml:space="preserve"> PAGEREF _Toc20818 \h </w:instrText>
      </w:r>
      <w:r>
        <w:fldChar w:fldCharType="separate"/>
      </w:r>
      <w:r>
        <w:t>25</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_Toc23658 </w:instrText>
      </w:r>
      <w:r>
        <w:rPr>
          <w:rFonts w:ascii="Times New Roman" w:hAnsi="Times New Roman"/>
        </w:rPr>
        <w:fldChar w:fldCharType="separate"/>
      </w:r>
      <w:r>
        <w:rPr>
          <w:rFonts w:ascii="Times New Roman" w:hAnsi="Times New Roman"/>
        </w:rPr>
        <w:t>（三）集团化办学情况</w:t>
      </w:r>
      <w:r>
        <w:tab/>
      </w:r>
      <w:r>
        <w:fldChar w:fldCharType="begin"/>
      </w:r>
      <w:r>
        <w:instrText xml:space="preserve"> PAGEREF _Toc23658 \h </w:instrText>
      </w:r>
      <w:r>
        <w:fldChar w:fldCharType="separate"/>
      </w:r>
      <w:r>
        <w:t>25</w:t>
      </w:r>
      <w:r>
        <w:fldChar w:fldCharType="end"/>
      </w:r>
      <w:r>
        <w:rPr>
          <w:rFonts w:ascii="Times New Roman" w:hAnsi="Times New Roman"/>
        </w:rPr>
        <w:fldChar w:fldCharType="end"/>
      </w:r>
    </w:p>
    <w:p>
      <w:pPr>
        <w:pStyle w:val="12"/>
        <w:tabs>
          <w:tab w:val="right" w:leader="dot" w:pos="8306"/>
        </w:tabs>
      </w:pPr>
      <w:r>
        <w:rPr>
          <w:rFonts w:ascii="Times New Roman" w:hAnsi="Times New Roman"/>
        </w:rPr>
        <w:fldChar w:fldCharType="begin"/>
      </w:r>
      <w:r>
        <w:rPr>
          <w:rFonts w:ascii="Times New Roman" w:hAnsi="Times New Roman"/>
        </w:rPr>
        <w:instrText xml:space="preserve"> HYPERLINK \l _Toc4859 </w:instrText>
      </w:r>
      <w:r>
        <w:rPr>
          <w:rFonts w:ascii="Times New Roman" w:hAnsi="Times New Roman"/>
        </w:rPr>
        <w:fldChar w:fldCharType="separate"/>
      </w:r>
      <w:r>
        <w:rPr>
          <w:rFonts w:ascii="Times New Roman" w:hAnsi="Times New Roman"/>
        </w:rPr>
        <w:t>五、社会贡献</w:t>
      </w:r>
      <w:r>
        <w:tab/>
      </w:r>
      <w:r>
        <w:fldChar w:fldCharType="begin"/>
      </w:r>
      <w:r>
        <w:instrText xml:space="preserve"> PAGEREF _Toc4859 \h </w:instrText>
      </w:r>
      <w:r>
        <w:fldChar w:fldCharType="separate"/>
      </w:r>
      <w:r>
        <w:t>26</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_Toc10406 </w:instrText>
      </w:r>
      <w:r>
        <w:rPr>
          <w:rFonts w:ascii="Times New Roman" w:hAnsi="Times New Roman"/>
        </w:rPr>
        <w:fldChar w:fldCharType="separate"/>
      </w:r>
      <w:r>
        <w:rPr>
          <w:rFonts w:ascii="Times New Roman" w:hAnsi="Times New Roman"/>
        </w:rPr>
        <w:t>（一）技术技能人才培养</w:t>
      </w:r>
      <w:r>
        <w:tab/>
      </w:r>
      <w:r>
        <w:fldChar w:fldCharType="begin"/>
      </w:r>
      <w:r>
        <w:instrText xml:space="preserve"> PAGEREF _Toc10406 \h </w:instrText>
      </w:r>
      <w:r>
        <w:fldChar w:fldCharType="separate"/>
      </w:r>
      <w:r>
        <w:t>26</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_Toc14524 </w:instrText>
      </w:r>
      <w:r>
        <w:rPr>
          <w:rFonts w:ascii="Times New Roman" w:hAnsi="Times New Roman"/>
        </w:rPr>
        <w:fldChar w:fldCharType="separate"/>
      </w:r>
      <w:r>
        <w:rPr>
          <w:rFonts w:ascii="Times New Roman" w:hAnsi="Times New Roman"/>
        </w:rPr>
        <w:t>（二）社会服务</w:t>
      </w:r>
      <w:r>
        <w:tab/>
      </w:r>
      <w:r>
        <w:fldChar w:fldCharType="begin"/>
      </w:r>
      <w:r>
        <w:instrText xml:space="preserve"> PAGEREF _Toc14524 \h </w:instrText>
      </w:r>
      <w:r>
        <w:fldChar w:fldCharType="separate"/>
      </w:r>
      <w:r>
        <w:t>26</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_Toc23973 </w:instrText>
      </w:r>
      <w:r>
        <w:rPr>
          <w:rFonts w:ascii="Times New Roman" w:hAnsi="Times New Roman"/>
        </w:rPr>
        <w:fldChar w:fldCharType="separate"/>
      </w:r>
      <w:r>
        <w:rPr>
          <w:rFonts w:ascii="Times New Roman" w:hAnsi="Times New Roman"/>
        </w:rPr>
        <w:t>（三）对口支援</w:t>
      </w:r>
      <w:r>
        <w:tab/>
      </w:r>
      <w:r>
        <w:fldChar w:fldCharType="begin"/>
      </w:r>
      <w:r>
        <w:instrText xml:space="preserve"> PAGEREF _Toc23973 \h </w:instrText>
      </w:r>
      <w:r>
        <w:fldChar w:fldCharType="separate"/>
      </w:r>
      <w:r>
        <w:t>27</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_Toc22044 </w:instrText>
      </w:r>
      <w:r>
        <w:rPr>
          <w:rFonts w:ascii="Times New Roman" w:hAnsi="Times New Roman"/>
        </w:rPr>
        <w:fldChar w:fldCharType="separate"/>
      </w:r>
      <w:r>
        <w:rPr>
          <w:rFonts w:hint="eastAsia" w:ascii="Times New Roman" w:hAnsi="Times New Roman"/>
        </w:rPr>
        <w:t>（四）</w:t>
      </w:r>
      <w:r>
        <w:rPr>
          <w:rFonts w:hint="eastAsia" w:ascii="Times New Roman" w:hAnsi="Times New Roman"/>
          <w:lang w:val="en-US" w:eastAsia="zh-CN"/>
        </w:rPr>
        <w:t>对口帮扶</w:t>
      </w:r>
      <w:r>
        <w:tab/>
      </w:r>
      <w:r>
        <w:fldChar w:fldCharType="begin"/>
      </w:r>
      <w:r>
        <w:instrText xml:space="preserve"> PAGEREF _Toc22044 \h </w:instrText>
      </w:r>
      <w:r>
        <w:fldChar w:fldCharType="separate"/>
      </w:r>
      <w:r>
        <w:t>27</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_Toc17170 </w:instrText>
      </w:r>
      <w:r>
        <w:rPr>
          <w:rFonts w:ascii="Times New Roman" w:hAnsi="Times New Roman"/>
        </w:rPr>
        <w:fldChar w:fldCharType="separate"/>
      </w:r>
      <w:r>
        <w:rPr>
          <w:rFonts w:hint="eastAsia"/>
        </w:rPr>
        <w:t>（五）</w:t>
      </w:r>
      <w:r>
        <w:rPr>
          <w:rFonts w:hint="eastAsia"/>
          <w:lang w:val="en-US" w:eastAsia="zh-CN"/>
        </w:rPr>
        <w:t>疫情防控</w:t>
      </w:r>
      <w:r>
        <w:tab/>
      </w:r>
      <w:r>
        <w:fldChar w:fldCharType="begin"/>
      </w:r>
      <w:r>
        <w:instrText xml:space="preserve"> PAGEREF _Toc17170 \h </w:instrText>
      </w:r>
      <w:r>
        <w:fldChar w:fldCharType="separate"/>
      </w:r>
      <w:r>
        <w:t>27</w:t>
      </w:r>
      <w:r>
        <w:fldChar w:fldCharType="end"/>
      </w:r>
      <w:r>
        <w:rPr>
          <w:rFonts w:ascii="Times New Roman" w:hAnsi="Times New Roman"/>
        </w:rPr>
        <w:fldChar w:fldCharType="end"/>
      </w:r>
    </w:p>
    <w:p>
      <w:pPr>
        <w:pStyle w:val="12"/>
        <w:tabs>
          <w:tab w:val="right" w:leader="dot" w:pos="8306"/>
        </w:tabs>
      </w:pPr>
      <w:r>
        <w:rPr>
          <w:rFonts w:ascii="Times New Roman" w:hAnsi="Times New Roman"/>
        </w:rPr>
        <w:fldChar w:fldCharType="begin"/>
      </w:r>
      <w:r>
        <w:rPr>
          <w:rFonts w:ascii="Times New Roman" w:hAnsi="Times New Roman"/>
        </w:rPr>
        <w:instrText xml:space="preserve"> HYPERLINK \l _Toc5459 </w:instrText>
      </w:r>
      <w:r>
        <w:rPr>
          <w:rFonts w:ascii="Times New Roman" w:hAnsi="Times New Roman"/>
        </w:rPr>
        <w:fldChar w:fldCharType="separate"/>
      </w:r>
      <w:r>
        <w:rPr>
          <w:rFonts w:ascii="Times New Roman" w:hAnsi="Times New Roman"/>
        </w:rPr>
        <w:t>六、举办</w:t>
      </w:r>
      <w:r>
        <w:rPr>
          <w:rFonts w:hint="eastAsia" w:ascii="Times New Roman" w:hAnsi="Times New Roman"/>
        </w:rPr>
        <w:t>者履责</w:t>
      </w:r>
      <w:r>
        <w:tab/>
      </w:r>
      <w:r>
        <w:fldChar w:fldCharType="begin"/>
      </w:r>
      <w:r>
        <w:instrText xml:space="preserve"> PAGEREF _Toc5459 \h </w:instrText>
      </w:r>
      <w:r>
        <w:fldChar w:fldCharType="separate"/>
      </w:r>
      <w:r>
        <w:t>27</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_Toc16020 </w:instrText>
      </w:r>
      <w:r>
        <w:rPr>
          <w:rFonts w:ascii="Times New Roman" w:hAnsi="Times New Roman"/>
        </w:rPr>
        <w:fldChar w:fldCharType="separate"/>
      </w:r>
      <w:r>
        <w:t>（一）经费投入与支出</w:t>
      </w:r>
      <w:r>
        <w:tab/>
      </w:r>
      <w:r>
        <w:fldChar w:fldCharType="begin"/>
      </w:r>
      <w:r>
        <w:instrText xml:space="preserve"> PAGEREF _Toc16020 \h </w:instrText>
      </w:r>
      <w:r>
        <w:fldChar w:fldCharType="separate"/>
      </w:r>
      <w:r>
        <w:t>27</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_Toc24694 </w:instrText>
      </w:r>
      <w:r>
        <w:rPr>
          <w:rFonts w:ascii="Times New Roman" w:hAnsi="Times New Roman"/>
        </w:rPr>
        <w:fldChar w:fldCharType="separate"/>
      </w:r>
      <w:r>
        <w:rPr>
          <w:rFonts w:ascii="Times New Roman" w:hAnsi="Times New Roman"/>
        </w:rPr>
        <w:t>（二）政策措施</w:t>
      </w:r>
      <w:r>
        <w:tab/>
      </w:r>
      <w:r>
        <w:fldChar w:fldCharType="begin"/>
      </w:r>
      <w:r>
        <w:instrText xml:space="preserve"> PAGEREF _Toc24694 \h </w:instrText>
      </w:r>
      <w:r>
        <w:fldChar w:fldCharType="separate"/>
      </w:r>
      <w:r>
        <w:t>27</w:t>
      </w:r>
      <w:r>
        <w:fldChar w:fldCharType="end"/>
      </w:r>
      <w:r>
        <w:rPr>
          <w:rFonts w:ascii="Times New Roman" w:hAnsi="Times New Roman"/>
        </w:rPr>
        <w:fldChar w:fldCharType="end"/>
      </w:r>
    </w:p>
    <w:p>
      <w:pPr>
        <w:pStyle w:val="12"/>
        <w:tabs>
          <w:tab w:val="right" w:leader="dot" w:pos="8306"/>
        </w:tabs>
      </w:pPr>
      <w:r>
        <w:rPr>
          <w:rFonts w:ascii="Times New Roman" w:hAnsi="Times New Roman"/>
        </w:rPr>
        <w:fldChar w:fldCharType="begin"/>
      </w:r>
      <w:r>
        <w:rPr>
          <w:rFonts w:ascii="Times New Roman" w:hAnsi="Times New Roman"/>
        </w:rPr>
        <w:instrText xml:space="preserve"> HYPERLINK \l _Toc26832 </w:instrText>
      </w:r>
      <w:r>
        <w:rPr>
          <w:rFonts w:ascii="Times New Roman" w:hAnsi="Times New Roman"/>
        </w:rPr>
        <w:fldChar w:fldCharType="separate"/>
      </w:r>
      <w:r>
        <w:rPr>
          <w:rFonts w:ascii="Times New Roman" w:hAnsi="Times New Roman"/>
        </w:rPr>
        <w:t>七、特色创新</w:t>
      </w:r>
      <w:r>
        <w:tab/>
      </w:r>
      <w:r>
        <w:fldChar w:fldCharType="begin"/>
      </w:r>
      <w:r>
        <w:instrText xml:space="preserve"> PAGEREF _Toc26832 \h </w:instrText>
      </w:r>
      <w:r>
        <w:fldChar w:fldCharType="separate"/>
      </w:r>
      <w:r>
        <w:t>28</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_Toc28913 </w:instrText>
      </w:r>
      <w:r>
        <w:rPr>
          <w:rFonts w:ascii="Times New Roman" w:hAnsi="Times New Roman"/>
        </w:rPr>
        <w:fldChar w:fldCharType="separate"/>
      </w:r>
      <w:r>
        <w:rPr>
          <w:rFonts w:hint="default" w:ascii="Times New Roman" w:hAnsi="Times New Roman" w:eastAsia="宋体" w:cs="Times New Roman"/>
          <w:bCs/>
          <w:szCs w:val="32"/>
          <w:lang w:val="en-US" w:eastAsia="zh-CN"/>
        </w:rPr>
        <w:t>【案例一】校企合作双师育人，打造护理品牌专业</w:t>
      </w:r>
      <w:r>
        <w:tab/>
      </w:r>
      <w:r>
        <w:fldChar w:fldCharType="begin"/>
      </w:r>
      <w:r>
        <w:instrText xml:space="preserve"> PAGEREF _Toc28913 \h </w:instrText>
      </w:r>
      <w:r>
        <w:fldChar w:fldCharType="separate"/>
      </w:r>
      <w:r>
        <w:t>28</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_Toc29559 </w:instrText>
      </w:r>
      <w:r>
        <w:rPr>
          <w:rFonts w:ascii="Times New Roman" w:hAnsi="Times New Roman"/>
        </w:rPr>
        <w:fldChar w:fldCharType="separate"/>
      </w:r>
      <w:r>
        <w:rPr>
          <w:rFonts w:hint="default" w:ascii="Calibri Light" w:hAnsi="Calibri Light" w:eastAsia="宋体" w:cs="Times New Roman"/>
          <w:bCs/>
          <w:szCs w:val="32"/>
          <w:lang w:val="en-US" w:eastAsia="zh-CN"/>
        </w:rPr>
        <w:t>【案例二】理实一体化教师能力精准提升模式</w:t>
      </w:r>
      <w:r>
        <w:tab/>
      </w:r>
      <w:r>
        <w:fldChar w:fldCharType="begin"/>
      </w:r>
      <w:r>
        <w:instrText xml:space="preserve"> PAGEREF _Toc29559 \h </w:instrText>
      </w:r>
      <w:r>
        <w:fldChar w:fldCharType="separate"/>
      </w:r>
      <w:r>
        <w:t>29</w:t>
      </w:r>
      <w:r>
        <w:fldChar w:fldCharType="end"/>
      </w:r>
      <w:r>
        <w:rPr>
          <w:rFonts w:ascii="Times New Roman" w:hAnsi="Times New Roman"/>
        </w:rPr>
        <w:fldChar w:fldCharType="end"/>
      </w:r>
    </w:p>
    <w:p>
      <w:pPr>
        <w:pStyle w:val="12"/>
        <w:tabs>
          <w:tab w:val="right" w:leader="dot" w:pos="8306"/>
        </w:tabs>
      </w:pPr>
      <w:r>
        <w:rPr>
          <w:rFonts w:ascii="Times New Roman" w:hAnsi="Times New Roman"/>
        </w:rPr>
        <w:fldChar w:fldCharType="begin"/>
      </w:r>
      <w:r>
        <w:rPr>
          <w:rFonts w:ascii="Times New Roman" w:hAnsi="Times New Roman"/>
        </w:rPr>
        <w:instrText xml:space="preserve"> HYPERLINK \l _Toc24535 </w:instrText>
      </w:r>
      <w:r>
        <w:rPr>
          <w:rFonts w:ascii="Times New Roman" w:hAnsi="Times New Roman"/>
        </w:rPr>
        <w:fldChar w:fldCharType="separate"/>
      </w:r>
      <w:r>
        <w:rPr>
          <w:rFonts w:ascii="Times New Roman" w:hAnsi="Times New Roman"/>
        </w:rPr>
        <w:t>八、主要问题和改进措施</w:t>
      </w:r>
      <w:r>
        <w:tab/>
      </w:r>
      <w:r>
        <w:fldChar w:fldCharType="begin"/>
      </w:r>
      <w:r>
        <w:instrText xml:space="preserve"> PAGEREF _Toc24535 \h </w:instrText>
      </w:r>
      <w:r>
        <w:fldChar w:fldCharType="separate"/>
      </w:r>
      <w:r>
        <w:t>30</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_Toc12492 </w:instrText>
      </w:r>
      <w:r>
        <w:rPr>
          <w:rFonts w:ascii="Times New Roman" w:hAnsi="Times New Roman"/>
        </w:rPr>
        <w:fldChar w:fldCharType="separate"/>
      </w:r>
      <w:r>
        <w:rPr>
          <w:rFonts w:ascii="Times New Roman" w:hAnsi="Times New Roman"/>
        </w:rPr>
        <w:t>（一）存在问题</w:t>
      </w:r>
      <w:r>
        <w:tab/>
      </w:r>
      <w:r>
        <w:fldChar w:fldCharType="begin"/>
      </w:r>
      <w:r>
        <w:instrText xml:space="preserve"> PAGEREF _Toc12492 \h </w:instrText>
      </w:r>
      <w:r>
        <w:fldChar w:fldCharType="separate"/>
      </w:r>
      <w:r>
        <w:t>30</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_Toc26079 </w:instrText>
      </w:r>
      <w:r>
        <w:rPr>
          <w:rFonts w:ascii="Times New Roman" w:hAnsi="Times New Roman"/>
        </w:rPr>
        <w:fldChar w:fldCharType="separate"/>
      </w:r>
      <w:r>
        <w:rPr>
          <w:rFonts w:ascii="Times New Roman" w:hAnsi="Times New Roman"/>
        </w:rPr>
        <w:t>（二）改进措施</w:t>
      </w:r>
      <w:r>
        <w:tab/>
      </w:r>
      <w:r>
        <w:fldChar w:fldCharType="begin"/>
      </w:r>
      <w:r>
        <w:instrText xml:space="preserve"> PAGEREF _Toc26079 \h </w:instrText>
      </w:r>
      <w:r>
        <w:fldChar w:fldCharType="separate"/>
      </w:r>
      <w:r>
        <w:t>30</w:t>
      </w:r>
      <w:r>
        <w:fldChar w:fldCharType="end"/>
      </w:r>
      <w:r>
        <w:rPr>
          <w:rFonts w:ascii="Times New Roman" w:hAnsi="Times New Roman"/>
        </w:rPr>
        <w:fldChar w:fldCharType="end"/>
      </w:r>
    </w:p>
    <w:p>
      <w:pPr>
        <w:pStyle w:val="12"/>
        <w:tabs>
          <w:tab w:val="right" w:leader="dot" w:pos="8306"/>
        </w:tabs>
      </w:pPr>
      <w:r>
        <w:rPr>
          <w:rFonts w:ascii="Times New Roman" w:hAnsi="Times New Roman"/>
        </w:rPr>
        <w:fldChar w:fldCharType="begin"/>
      </w:r>
      <w:r>
        <w:rPr>
          <w:rFonts w:ascii="Times New Roman" w:hAnsi="Times New Roman"/>
        </w:rPr>
        <w:instrText xml:space="preserve"> HYPERLINK \l _Toc20544 </w:instrText>
      </w:r>
      <w:r>
        <w:rPr>
          <w:rFonts w:ascii="Times New Roman" w:hAnsi="Times New Roman"/>
        </w:rPr>
        <w:fldChar w:fldCharType="separate"/>
      </w:r>
      <w:r>
        <w:rPr>
          <w:rFonts w:hint="eastAsia" w:ascii="Times New Roman" w:hAnsi="Times New Roman"/>
        </w:rPr>
        <w:t>附件</w:t>
      </w:r>
      <w:r>
        <w:tab/>
      </w:r>
      <w:r>
        <w:fldChar w:fldCharType="begin"/>
      </w:r>
      <w:r>
        <w:instrText xml:space="preserve"> PAGEREF _Toc20544 \h </w:instrText>
      </w:r>
      <w:r>
        <w:fldChar w:fldCharType="separate"/>
      </w:r>
      <w:r>
        <w:t>31</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_Toc12284 </w:instrText>
      </w:r>
      <w:r>
        <w:rPr>
          <w:rFonts w:ascii="Times New Roman" w:hAnsi="Times New Roman"/>
        </w:rPr>
        <w:fldChar w:fldCharType="separate"/>
      </w:r>
      <w:r>
        <w:rPr>
          <w:rFonts w:ascii="Times New Roman" w:hAnsi="Times New Roman"/>
        </w:rPr>
        <w:t>附</w:t>
      </w:r>
      <w:r>
        <w:rPr>
          <w:rFonts w:hint="eastAsia" w:ascii="Times New Roman" w:hAnsi="Times New Roman"/>
        </w:rPr>
        <w:t>件</w:t>
      </w:r>
      <w:r>
        <w:rPr>
          <w:rFonts w:ascii="Times New Roman" w:hAnsi="Times New Roman"/>
        </w:rPr>
        <w:t>1：学校区位图</w:t>
      </w:r>
      <w:r>
        <w:tab/>
      </w:r>
      <w:r>
        <w:fldChar w:fldCharType="begin"/>
      </w:r>
      <w:r>
        <w:instrText xml:space="preserve"> PAGEREF _Toc12284 \h </w:instrText>
      </w:r>
      <w:r>
        <w:fldChar w:fldCharType="separate"/>
      </w:r>
      <w:r>
        <w:t>31</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_Toc16669 </w:instrText>
      </w:r>
      <w:r>
        <w:rPr>
          <w:rFonts w:ascii="Times New Roman" w:hAnsi="Times New Roman"/>
        </w:rPr>
        <w:fldChar w:fldCharType="separate"/>
      </w:r>
      <w:r>
        <w:rPr>
          <w:rFonts w:hint="eastAsia" w:ascii="Times New Roman" w:hAnsi="Times New Roman"/>
        </w:rPr>
        <w:t>附件</w:t>
      </w:r>
      <w:r>
        <w:rPr>
          <w:rFonts w:ascii="Times New Roman" w:hAnsi="Times New Roman"/>
        </w:rPr>
        <w:t>2</w:t>
      </w:r>
      <w:r>
        <w:rPr>
          <w:rFonts w:hint="eastAsia" w:ascii="Times New Roman" w:hAnsi="Times New Roman"/>
        </w:rPr>
        <w:t>：调研样本统计</w:t>
      </w:r>
      <w:r>
        <w:tab/>
      </w:r>
      <w:r>
        <w:fldChar w:fldCharType="begin"/>
      </w:r>
      <w:r>
        <w:instrText xml:space="preserve"> PAGEREF _Toc16669 \h </w:instrText>
      </w:r>
      <w:r>
        <w:fldChar w:fldCharType="separate"/>
      </w:r>
      <w:r>
        <w:t>32</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_Toc5614 </w:instrText>
      </w:r>
      <w:r>
        <w:rPr>
          <w:rFonts w:ascii="Times New Roman" w:hAnsi="Times New Roman"/>
        </w:rPr>
        <w:fldChar w:fldCharType="separate"/>
      </w:r>
      <w:r>
        <w:rPr>
          <w:rFonts w:ascii="Times New Roman" w:hAnsi="Times New Roman"/>
        </w:rPr>
        <w:t>附</w:t>
      </w:r>
      <w:r>
        <w:rPr>
          <w:rFonts w:hint="eastAsia" w:ascii="Times New Roman" w:hAnsi="Times New Roman"/>
        </w:rPr>
        <w:t>件</w:t>
      </w:r>
      <w:r>
        <w:rPr>
          <w:rFonts w:ascii="Times New Roman" w:hAnsi="Times New Roman"/>
        </w:rPr>
        <w:t>3：</w:t>
      </w:r>
      <w:r>
        <w:rPr>
          <w:rFonts w:hint="eastAsia" w:ascii="Times New Roman" w:hAnsi="Times New Roman"/>
        </w:rPr>
        <w:t>中等职业教育质量数据表</w:t>
      </w:r>
      <w:r>
        <w:tab/>
      </w:r>
      <w:r>
        <w:fldChar w:fldCharType="begin"/>
      </w:r>
      <w:r>
        <w:instrText xml:space="preserve"> PAGEREF _Toc5614 \h </w:instrText>
      </w:r>
      <w:r>
        <w:fldChar w:fldCharType="separate"/>
      </w:r>
      <w:r>
        <w:t>33</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_Toc29523 </w:instrText>
      </w:r>
      <w:r>
        <w:rPr>
          <w:rFonts w:ascii="Times New Roman" w:hAnsi="Times New Roman"/>
        </w:rPr>
        <w:fldChar w:fldCharType="separate"/>
      </w:r>
      <w:r>
        <w:rPr>
          <w:rFonts w:ascii="Times New Roman" w:hAnsi="Times New Roman"/>
        </w:rPr>
        <w:t>附</w:t>
      </w:r>
      <w:r>
        <w:rPr>
          <w:rFonts w:hint="eastAsia" w:ascii="Times New Roman" w:hAnsi="Times New Roman"/>
        </w:rPr>
        <w:t>件</w:t>
      </w:r>
      <w:r>
        <w:rPr>
          <w:rFonts w:hint="eastAsia" w:ascii="Times New Roman" w:hAnsi="Times New Roman"/>
          <w:lang w:val="en-US" w:eastAsia="zh-CN"/>
        </w:rPr>
        <w:t>4</w:t>
      </w:r>
      <w:r>
        <w:rPr>
          <w:rFonts w:ascii="Times New Roman" w:hAnsi="Times New Roman"/>
        </w:rPr>
        <w:t>：学校荣誉</w:t>
      </w:r>
      <w:r>
        <w:tab/>
      </w:r>
      <w:r>
        <w:fldChar w:fldCharType="begin"/>
      </w:r>
      <w:r>
        <w:instrText xml:space="preserve"> PAGEREF _Toc29523 \h </w:instrText>
      </w:r>
      <w:r>
        <w:fldChar w:fldCharType="separate"/>
      </w:r>
      <w:r>
        <w:t>35</w:t>
      </w:r>
      <w:r>
        <w:fldChar w:fldCharType="end"/>
      </w:r>
      <w:r>
        <w:rPr>
          <w:rFonts w:ascii="Times New Roman" w:hAnsi="Times New Roman"/>
        </w:rPr>
        <w:fldChar w:fldCharType="end"/>
      </w:r>
    </w:p>
    <w:p>
      <w:pPr>
        <w:pStyle w:val="14"/>
        <w:tabs>
          <w:tab w:val="right" w:leader="dot" w:pos="8306"/>
        </w:tabs>
      </w:pPr>
      <w:r>
        <w:rPr>
          <w:rFonts w:ascii="Times New Roman" w:hAnsi="Times New Roman"/>
        </w:rPr>
        <w:fldChar w:fldCharType="begin"/>
      </w:r>
      <w:r>
        <w:rPr>
          <w:rFonts w:ascii="Times New Roman" w:hAnsi="Times New Roman"/>
        </w:rPr>
        <w:instrText xml:space="preserve"> HYPERLINK \l _Toc10826 </w:instrText>
      </w:r>
      <w:r>
        <w:rPr>
          <w:rFonts w:ascii="Times New Roman" w:hAnsi="Times New Roman"/>
        </w:rPr>
        <w:fldChar w:fldCharType="separate"/>
      </w:r>
      <w:r>
        <w:rPr>
          <w:rFonts w:ascii="Times New Roman" w:hAnsi="Times New Roman"/>
        </w:rPr>
        <w:t>附</w:t>
      </w:r>
      <w:r>
        <w:rPr>
          <w:rFonts w:hint="eastAsia" w:ascii="Times New Roman" w:hAnsi="Times New Roman"/>
        </w:rPr>
        <w:t>件</w:t>
      </w:r>
      <w:r>
        <w:rPr>
          <w:rFonts w:hint="eastAsia" w:ascii="Times New Roman" w:hAnsi="Times New Roman"/>
          <w:lang w:val="en-US" w:eastAsia="zh-CN"/>
        </w:rPr>
        <w:t>5</w:t>
      </w:r>
      <w:r>
        <w:rPr>
          <w:rFonts w:ascii="Times New Roman" w:hAnsi="Times New Roman"/>
        </w:rPr>
        <w:t>：政策依据</w:t>
      </w:r>
      <w:r>
        <w:tab/>
      </w:r>
      <w:r>
        <w:fldChar w:fldCharType="begin"/>
      </w:r>
      <w:r>
        <w:instrText xml:space="preserve"> PAGEREF _Toc10826 \h </w:instrText>
      </w:r>
      <w:r>
        <w:fldChar w:fldCharType="separate"/>
      </w:r>
      <w:r>
        <w:t>36</w:t>
      </w:r>
      <w:r>
        <w:fldChar w:fldCharType="end"/>
      </w:r>
      <w:r>
        <w:rPr>
          <w:rFonts w:ascii="Times New Roman" w:hAnsi="Times New Roman"/>
        </w:rPr>
        <w:fldChar w:fldCharType="end"/>
      </w:r>
    </w:p>
    <w:p>
      <w:pPr>
        <w:spacing w:line="360" w:lineRule="auto"/>
        <w:rPr>
          <w:rFonts w:ascii="Times New Roman" w:hAnsi="Times New Roman"/>
        </w:rPr>
      </w:pPr>
      <w:r>
        <w:rPr>
          <w:rFonts w:ascii="Times New Roman" w:hAnsi="Times New Roman"/>
          <w:sz w:val="28"/>
        </w:rPr>
        <w:fldChar w:fldCharType="end"/>
      </w:r>
    </w:p>
    <w:p>
      <w:pPr>
        <w:pStyle w:val="4"/>
        <w:spacing w:before="312" w:after="156"/>
        <w:rPr>
          <w:rFonts w:ascii="Times New Roman" w:hAnsi="Times New Roman"/>
        </w:rPr>
        <w:sectPr>
          <w:headerReference r:id="rId4" w:type="default"/>
          <w:headerReference r:id="rId5" w:type="even"/>
          <w:footerReference r:id="rId6" w:type="even"/>
          <w:pgSz w:w="11906" w:h="16838"/>
          <w:pgMar w:top="1440" w:right="1800" w:bottom="1440" w:left="1800" w:header="567" w:footer="992" w:gutter="0"/>
          <w:cols w:space="720" w:num="1"/>
          <w:docGrid w:type="lines" w:linePitch="312" w:charSpace="0"/>
        </w:sectPr>
      </w:pPr>
    </w:p>
    <w:p>
      <w:pPr>
        <w:pStyle w:val="4"/>
        <w:spacing w:before="312" w:after="156"/>
        <w:rPr>
          <w:rFonts w:ascii="Times New Roman" w:hAnsi="Times New Roman"/>
        </w:rPr>
      </w:pPr>
      <w:bookmarkStart w:id="0" w:name="_Toc27741"/>
      <w:bookmarkStart w:id="1" w:name="_Toc61256668"/>
      <w:r>
        <w:rPr>
          <w:rFonts w:ascii="Times New Roman" w:hAnsi="Times New Roman"/>
        </w:rPr>
        <w:t>一、学校情况</w:t>
      </w:r>
      <w:bookmarkEnd w:id="0"/>
      <w:bookmarkEnd w:id="1"/>
    </w:p>
    <w:p>
      <w:pPr>
        <w:pStyle w:val="5"/>
        <w:rPr>
          <w:rFonts w:ascii="Times New Roman" w:hAnsi="Times New Roman"/>
        </w:rPr>
      </w:pPr>
      <w:bookmarkStart w:id="2" w:name="_Toc61256669"/>
      <w:bookmarkStart w:id="3" w:name="_Toc204"/>
      <w:r>
        <w:rPr>
          <w:rFonts w:ascii="Times New Roman" w:hAnsi="Times New Roman"/>
        </w:rPr>
        <w:t>（一）学校概况</w:t>
      </w:r>
      <w:bookmarkEnd w:id="2"/>
      <w:bookmarkEnd w:id="3"/>
    </w:p>
    <w:p>
      <w:pPr>
        <w:pStyle w:val="34"/>
        <w:ind w:firstLine="562"/>
        <w:rPr>
          <w:rFonts w:ascii="Times New Roman" w:hAnsi="Times New Roman" w:cs="Times New Roman"/>
          <w:b/>
        </w:rPr>
      </w:pPr>
      <w:r>
        <w:rPr>
          <w:rFonts w:ascii="Times New Roman" w:hAnsi="Times New Roman" w:cs="Times New Roman"/>
          <w:b/>
        </w:rPr>
        <w:t>1.学校简介</w:t>
      </w:r>
    </w:p>
    <w:p>
      <w:pPr>
        <w:pStyle w:val="34"/>
        <w:spacing w:line="300" w:lineRule="auto"/>
        <w:ind w:firstLine="480"/>
        <w:rPr>
          <w:rFonts w:ascii="Times New Roman" w:hAnsi="Times New Roman" w:cs="Times New Roman"/>
          <w:sz w:val="24"/>
          <w:szCs w:val="28"/>
        </w:rPr>
      </w:pPr>
      <w:r>
        <w:rPr>
          <w:rFonts w:ascii="Times New Roman" w:hAnsi="Times New Roman" w:cs="Times New Roman"/>
          <w:sz w:val="24"/>
          <w:szCs w:val="28"/>
        </w:rPr>
        <w:t>海西蒙古族藏族自治州职业技术学校，简称</w:t>
      </w:r>
      <w:bookmarkStart w:id="4" w:name="_Hlk534380834"/>
      <w:r>
        <w:rPr>
          <w:rFonts w:ascii="Times New Roman" w:hAnsi="Times New Roman" w:cs="Times New Roman"/>
          <w:sz w:val="24"/>
          <w:szCs w:val="28"/>
        </w:rPr>
        <w:t>海西州职业技术学校，</w:t>
      </w:r>
      <w:r>
        <w:rPr>
          <w:rFonts w:hint="eastAsia" w:ascii="Times New Roman" w:hAnsi="Times New Roman" w:cs="Times New Roman"/>
          <w:sz w:val="24"/>
          <w:szCs w:val="28"/>
        </w:rPr>
        <w:t>坐落在被誉为祖国聚宝盆--柴达木盆地“金色世界”德令哈，毗邻资源丰富、前景广阔的柴达木循环经济试验区。学校</w:t>
      </w:r>
      <w:r>
        <w:rPr>
          <w:rFonts w:ascii="Times New Roman" w:hAnsi="Times New Roman" w:cs="Times New Roman"/>
          <w:sz w:val="24"/>
          <w:szCs w:val="28"/>
        </w:rPr>
        <w:t>是</w:t>
      </w:r>
      <w:bookmarkStart w:id="5" w:name="_Hlk534382000"/>
      <w:r>
        <w:rPr>
          <w:rFonts w:ascii="Times New Roman" w:hAnsi="Times New Roman" w:cs="Times New Roman"/>
          <w:sz w:val="24"/>
          <w:szCs w:val="28"/>
        </w:rPr>
        <w:t>海西地区集中职学历教育、职业技能培训、电大成人教育为一体的</w:t>
      </w:r>
      <w:r>
        <w:rPr>
          <w:rFonts w:hint="eastAsia" w:ascii="Times New Roman" w:hAnsi="Times New Roman" w:cs="Times New Roman"/>
          <w:sz w:val="24"/>
          <w:szCs w:val="28"/>
        </w:rPr>
        <w:t>省州共建的公办全日制</w:t>
      </w:r>
      <w:r>
        <w:rPr>
          <w:rFonts w:ascii="Times New Roman" w:hAnsi="Times New Roman" w:cs="Times New Roman"/>
          <w:sz w:val="24"/>
          <w:szCs w:val="28"/>
        </w:rPr>
        <w:t>中等职业技术学校</w:t>
      </w:r>
      <w:bookmarkEnd w:id="4"/>
      <w:r>
        <w:rPr>
          <w:rFonts w:hint="eastAsia" w:ascii="Times New Roman" w:hAnsi="Times New Roman" w:cs="Times New Roman"/>
          <w:sz w:val="24"/>
          <w:szCs w:val="28"/>
        </w:rPr>
        <w:t>，是</w:t>
      </w:r>
      <w:r>
        <w:rPr>
          <w:rFonts w:ascii="Times New Roman" w:hAnsi="Times New Roman" w:cs="Times New Roman"/>
          <w:sz w:val="24"/>
          <w:szCs w:val="28"/>
        </w:rPr>
        <w:t>国家中等职业教育改革发展示范校建设项目学校</w:t>
      </w:r>
      <w:bookmarkEnd w:id="5"/>
      <w:bookmarkStart w:id="6" w:name="_Hlk534382046"/>
      <w:r>
        <w:rPr>
          <w:rFonts w:hint="eastAsia" w:ascii="Times New Roman" w:hAnsi="Times New Roman" w:cs="Times New Roman"/>
          <w:sz w:val="24"/>
          <w:szCs w:val="28"/>
        </w:rPr>
        <w:t>，</w:t>
      </w:r>
      <w:bookmarkStart w:id="7" w:name="_Hlk60679935"/>
      <w:r>
        <w:rPr>
          <w:rFonts w:hint="eastAsia" w:ascii="Times New Roman" w:hAnsi="Times New Roman" w:cs="Times New Roman"/>
          <w:sz w:val="24"/>
          <w:szCs w:val="28"/>
        </w:rPr>
        <w:t>与青海柴达木职业技术学院实行“一园两校、一套班子、两块牌子，资源共享、管理有别、一体运行”管理体制</w:t>
      </w:r>
      <w:bookmarkEnd w:id="7"/>
      <w:r>
        <w:rPr>
          <w:rFonts w:hint="eastAsia" w:ascii="Times New Roman" w:hAnsi="Times New Roman" w:cs="Times New Roman"/>
          <w:sz w:val="24"/>
          <w:szCs w:val="28"/>
        </w:rPr>
        <w:t>。</w:t>
      </w:r>
      <w:bookmarkEnd w:id="6"/>
      <w:r>
        <w:rPr>
          <w:rFonts w:hint="eastAsia" w:ascii="Times New Roman" w:hAnsi="Times New Roman" w:cs="Times New Roman"/>
          <w:sz w:val="24"/>
          <w:szCs w:val="28"/>
        </w:rPr>
        <w:t>学校创新推进政校企三方联动的合作办学体制改革，不断深化产教融合、校企合作机制，实行“订单招生，定向培养”人才培养模式</w:t>
      </w:r>
      <w:r>
        <w:rPr>
          <w:rFonts w:hint="eastAsia" w:ascii="Times New Roman" w:hAnsi="Times New Roman" w:cs="Times New Roman"/>
          <w:sz w:val="24"/>
          <w:szCs w:val="28"/>
          <w:highlight w:val="none"/>
        </w:rPr>
        <w:t>。学</w:t>
      </w:r>
      <w:r>
        <w:rPr>
          <w:rFonts w:hint="eastAsia" w:ascii="Times New Roman" w:hAnsi="Times New Roman" w:cs="Times New Roman"/>
          <w:sz w:val="24"/>
          <w:szCs w:val="28"/>
          <w:highlight w:val="none"/>
          <w:lang w:val="en-US" w:eastAsia="zh-CN"/>
        </w:rPr>
        <w:t>校</w:t>
      </w:r>
      <w:r>
        <w:rPr>
          <w:rFonts w:hint="eastAsia" w:ascii="Times New Roman" w:hAnsi="Times New Roman" w:cs="Times New Roman"/>
          <w:sz w:val="24"/>
          <w:szCs w:val="28"/>
          <w:highlight w:val="none"/>
        </w:rPr>
        <w:t>遵</w:t>
      </w:r>
      <w:r>
        <w:rPr>
          <w:rFonts w:hint="eastAsia" w:ascii="Times New Roman" w:hAnsi="Times New Roman" w:cs="Times New Roman"/>
          <w:sz w:val="24"/>
          <w:szCs w:val="28"/>
        </w:rPr>
        <w:t>循“立德树人，创新创业”的办学理念，倡导“修德练技，笃学强体”的校训，弘扬“团结、勤奋、务实、创新”的校风，顺应产业发展需要，促进职业教育与产业有效对接，培养具有创新精神和实践能力、坚守职业操守和社会责任感的高素质技术技能人才。</w:t>
      </w:r>
    </w:p>
    <w:p>
      <w:pPr>
        <w:pStyle w:val="34"/>
        <w:ind w:firstLine="0" w:firstLineChars="0"/>
        <w:jc w:val="distribute"/>
        <w:rPr>
          <w:rFonts w:hint="eastAsia" w:ascii="Times New Roman" w:hAnsi="Times New Roman" w:eastAsia="宋体" w:cs="Times New Roman"/>
          <w:szCs w:val="28"/>
          <w:lang w:eastAsia="zh-CN"/>
        </w:rPr>
      </w:pPr>
      <w:r>
        <w:rPr>
          <w:rFonts w:hint="eastAsia" w:ascii="Times New Roman" w:hAnsi="Times New Roman" w:cs="Times New Roman"/>
          <w:szCs w:val="28"/>
        </w:rPr>
        <w:drawing>
          <wp:inline distT="0" distB="0" distL="114300" distR="114300">
            <wp:extent cx="2590165" cy="1727835"/>
            <wp:effectExtent l="0" t="0" r="635" b="5715"/>
            <wp:docPr id="22" name="图片 22" descr="汽车工程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汽车工程系"/>
                    <pic:cNvPicPr>
                      <a:picLocks noChangeAspect="1"/>
                    </pic:cNvPicPr>
                  </pic:nvPicPr>
                  <pic:blipFill>
                    <a:blip r:embed="rId20"/>
                    <a:stretch>
                      <a:fillRect/>
                    </a:stretch>
                  </pic:blipFill>
                  <pic:spPr>
                    <a:xfrm>
                      <a:off x="0" y="0"/>
                      <a:ext cx="2590165" cy="1727835"/>
                    </a:xfrm>
                    <a:prstGeom prst="rect">
                      <a:avLst/>
                    </a:prstGeom>
                  </pic:spPr>
                </pic:pic>
              </a:graphicData>
            </a:graphic>
          </wp:inline>
        </w:drawing>
      </w:r>
      <w:r>
        <w:rPr>
          <w:rFonts w:hint="eastAsia" w:ascii="Times New Roman" w:hAnsi="Times New Roman" w:cs="Times New Roman"/>
          <w:szCs w:val="28"/>
        </w:rPr>
        <w:t xml:space="preserve"> </w:t>
      </w:r>
      <w:r>
        <w:rPr>
          <w:rFonts w:hint="eastAsia" w:ascii="Times New Roman" w:hAnsi="Times New Roman" w:eastAsia="宋体" w:cs="Times New Roman"/>
          <w:szCs w:val="28"/>
          <w:lang w:eastAsia="zh-CN"/>
        </w:rPr>
        <w:drawing>
          <wp:inline distT="0" distB="0" distL="114300" distR="114300">
            <wp:extent cx="2590800" cy="1727835"/>
            <wp:effectExtent l="0" t="0" r="0" b="5715"/>
            <wp:docPr id="23" name="图片 23" descr="图书馆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书馆1"/>
                    <pic:cNvPicPr>
                      <a:picLocks noChangeAspect="1"/>
                    </pic:cNvPicPr>
                  </pic:nvPicPr>
                  <pic:blipFill>
                    <a:blip r:embed="rId21"/>
                    <a:stretch>
                      <a:fillRect/>
                    </a:stretch>
                  </pic:blipFill>
                  <pic:spPr>
                    <a:xfrm>
                      <a:off x="0" y="0"/>
                      <a:ext cx="2590800" cy="1727835"/>
                    </a:xfrm>
                    <a:prstGeom prst="rect">
                      <a:avLst/>
                    </a:prstGeom>
                  </pic:spPr>
                </pic:pic>
              </a:graphicData>
            </a:graphic>
          </wp:inline>
        </w:drawing>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图1-1  校园环境</w:t>
      </w:r>
    </w:p>
    <w:p>
      <w:pPr>
        <w:pStyle w:val="34"/>
        <w:ind w:firstLine="562"/>
        <w:rPr>
          <w:rFonts w:ascii="Times New Roman" w:hAnsi="Times New Roman" w:cs="Times New Roman"/>
          <w:b/>
        </w:rPr>
      </w:pPr>
      <w:r>
        <w:rPr>
          <w:rFonts w:ascii="Times New Roman" w:hAnsi="Times New Roman" w:cs="Times New Roman"/>
          <w:b/>
        </w:rPr>
        <w:t>2.办学资源</w:t>
      </w:r>
    </w:p>
    <w:p>
      <w:pPr>
        <w:pStyle w:val="34"/>
        <w:spacing w:line="300" w:lineRule="auto"/>
        <w:ind w:firstLine="480"/>
        <w:rPr>
          <w:rFonts w:ascii="Times New Roman" w:hAnsi="Times New Roman" w:cs="Times New Roman"/>
          <w:sz w:val="24"/>
          <w:szCs w:val="28"/>
        </w:rPr>
      </w:pPr>
      <w:r>
        <w:rPr>
          <w:rFonts w:ascii="Times New Roman" w:hAnsi="Times New Roman" w:cs="Times New Roman"/>
          <w:sz w:val="24"/>
          <w:szCs w:val="28"/>
        </w:rPr>
        <w:t>学校占地面积</w:t>
      </w:r>
      <w:r>
        <w:rPr>
          <w:rFonts w:ascii="Times New Roman" w:hAnsi="Times New Roman" w:cs="Times New Roman"/>
          <w:sz w:val="24"/>
          <w:szCs w:val="28"/>
          <w:vertAlign w:val="superscript"/>
        </w:rPr>
        <w:footnoteReference w:id="0"/>
      </w:r>
      <w:r>
        <w:rPr>
          <w:rFonts w:ascii="Times New Roman" w:hAnsi="Times New Roman" w:cs="Times New Roman"/>
          <w:sz w:val="24"/>
          <w:szCs w:val="28"/>
        </w:rPr>
        <w:t>316340平方米，生均占地面积</w:t>
      </w:r>
      <w:r>
        <w:rPr>
          <w:rFonts w:ascii="Times New Roman" w:hAnsi="Times New Roman" w:cs="Times New Roman"/>
          <w:sz w:val="24"/>
          <w:szCs w:val="28"/>
          <w:vertAlign w:val="superscript"/>
        </w:rPr>
        <w:footnoteReference w:id="1"/>
      </w:r>
      <w:r>
        <w:rPr>
          <w:rFonts w:hint="default" w:ascii="Times New Roman" w:hAnsi="Times New Roman" w:cs="Times New Roman"/>
          <w:sz w:val="24"/>
          <w:szCs w:val="28"/>
        </w:rPr>
        <w:t>216</w:t>
      </w:r>
      <w:r>
        <w:rPr>
          <w:rFonts w:hint="eastAsia" w:ascii="Times New Roman" w:hAnsi="Times New Roman" w:cs="Times New Roman"/>
          <w:sz w:val="24"/>
          <w:szCs w:val="28"/>
          <w:lang w:val="en-US" w:eastAsia="zh-Hans"/>
        </w:rPr>
        <w:t>.</w:t>
      </w:r>
      <w:r>
        <w:rPr>
          <w:rFonts w:hint="default" w:ascii="Times New Roman" w:hAnsi="Times New Roman" w:cs="Times New Roman"/>
          <w:sz w:val="24"/>
          <w:szCs w:val="28"/>
          <w:lang w:eastAsia="zh-Hans"/>
        </w:rPr>
        <w:t>23</w:t>
      </w:r>
      <w:r>
        <w:rPr>
          <w:rFonts w:ascii="Times New Roman" w:hAnsi="Times New Roman" w:cs="Times New Roman"/>
          <w:sz w:val="24"/>
          <w:szCs w:val="28"/>
        </w:rPr>
        <w:t>平方米；</w:t>
      </w:r>
      <w:r>
        <w:rPr>
          <w:rFonts w:ascii="Times New Roman" w:hAnsi="Times New Roman" w:cs="Times New Roman"/>
          <w:color w:val="000000" w:themeColor="text1"/>
          <w:sz w:val="24"/>
          <w:szCs w:val="28"/>
          <w14:textFill>
            <w14:solidFill>
              <w14:schemeClr w14:val="tx1"/>
            </w14:solidFill>
          </w14:textFill>
        </w:rPr>
        <w:t>校舍建筑面积</w:t>
      </w:r>
      <w:r>
        <w:rPr>
          <w:rFonts w:ascii="Times New Roman" w:hAnsi="Times New Roman" w:cs="Times New Roman"/>
          <w:color w:val="000000" w:themeColor="text1"/>
          <w:sz w:val="24"/>
          <w:szCs w:val="28"/>
          <w:vertAlign w:val="superscript"/>
          <w14:textFill>
            <w14:solidFill>
              <w14:schemeClr w14:val="tx1"/>
            </w14:solidFill>
          </w14:textFill>
        </w:rPr>
        <w:footnoteReference w:id="2"/>
      </w:r>
      <w:r>
        <w:rPr>
          <w:rFonts w:ascii="Times New Roman" w:hAnsi="Times New Roman" w:cs="Times New Roman"/>
          <w:color w:val="000000" w:themeColor="text1"/>
          <w:sz w:val="24"/>
          <w:szCs w:val="28"/>
          <w14:textFill>
            <w14:solidFill>
              <w14:schemeClr w14:val="tx1"/>
            </w14:solidFill>
          </w14:textFill>
        </w:rPr>
        <w:t>73202平方米，生均校舍建筑面积</w:t>
      </w:r>
      <w:r>
        <w:rPr>
          <w:rFonts w:ascii="Times New Roman" w:hAnsi="Times New Roman" w:cs="Times New Roman"/>
          <w:color w:val="000000" w:themeColor="text1"/>
          <w:sz w:val="24"/>
          <w:szCs w:val="28"/>
          <w:vertAlign w:val="superscript"/>
          <w14:textFill>
            <w14:solidFill>
              <w14:schemeClr w14:val="tx1"/>
            </w14:solidFill>
          </w14:textFill>
        </w:rPr>
        <w:footnoteReference w:id="3"/>
      </w:r>
      <w:r>
        <w:rPr>
          <w:rFonts w:hint="default" w:ascii="Times New Roman" w:hAnsi="Times New Roman" w:cs="Times New Roman"/>
          <w:color w:val="000000" w:themeColor="text1"/>
          <w:sz w:val="24"/>
          <w:szCs w:val="28"/>
          <w14:textFill>
            <w14:solidFill>
              <w14:schemeClr w14:val="tx1"/>
            </w14:solidFill>
          </w14:textFill>
        </w:rPr>
        <w:t>50</w:t>
      </w:r>
      <w:r>
        <w:rPr>
          <w:rFonts w:hint="eastAsia" w:ascii="Times New Roman" w:hAnsi="Times New Roman" w:cs="Times New Roman"/>
          <w:color w:val="000000" w:themeColor="text1"/>
          <w:sz w:val="24"/>
          <w:szCs w:val="28"/>
          <w:lang w:val="en-US" w:eastAsia="zh-Hans"/>
          <w14:textFill>
            <w14:solidFill>
              <w14:schemeClr w14:val="tx1"/>
            </w14:solidFill>
          </w14:textFill>
        </w:rPr>
        <w:t>.</w:t>
      </w:r>
      <w:r>
        <w:rPr>
          <w:rFonts w:hint="default" w:ascii="Times New Roman" w:hAnsi="Times New Roman" w:cs="Times New Roman"/>
          <w:color w:val="000000" w:themeColor="text1"/>
          <w:sz w:val="24"/>
          <w:szCs w:val="28"/>
          <w:lang w:eastAsia="zh-Hans"/>
          <w14:textFill>
            <w14:solidFill>
              <w14:schemeClr w14:val="tx1"/>
            </w14:solidFill>
          </w14:textFill>
        </w:rPr>
        <w:t>04</w:t>
      </w:r>
      <w:r>
        <w:rPr>
          <w:rFonts w:ascii="Times New Roman" w:hAnsi="Times New Roman" w:cs="Times New Roman"/>
          <w:color w:val="000000" w:themeColor="text1"/>
          <w:sz w:val="24"/>
          <w:szCs w:val="28"/>
          <w14:textFill>
            <w14:solidFill>
              <w14:schemeClr w14:val="tx1"/>
            </w14:solidFill>
          </w14:textFill>
        </w:rPr>
        <w:t>平方米</w:t>
      </w:r>
      <w:r>
        <w:rPr>
          <w:rFonts w:ascii="Times New Roman" w:hAnsi="Times New Roman" w:cs="Times New Roman"/>
          <w:sz w:val="24"/>
          <w:szCs w:val="28"/>
        </w:rPr>
        <w:t>。学校办学资源总量及生均值见表1-1。</w:t>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表1-1  学校办学资源总量及生均值</w:t>
      </w:r>
    </w:p>
    <w:tbl>
      <w:tblPr>
        <w:tblStyle w:val="17"/>
        <w:tblW w:w="8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2"/>
        <w:gridCol w:w="2926"/>
        <w:gridCol w:w="1290"/>
        <w:gridCol w:w="1720"/>
        <w:gridCol w:w="16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2" w:type="dxa"/>
            <w:shd w:val="clear" w:color="auto" w:fill="C6D9F0" w:themeFill="text2" w:themeFillTint="33"/>
            <w:vAlign w:val="center"/>
          </w:tcPr>
          <w:p>
            <w:pPr>
              <w:pStyle w:val="15"/>
              <w:spacing w:before="0" w:beforeAutospacing="0" w:after="0" w:afterAutospacing="0"/>
              <w:jc w:val="center"/>
              <w:rPr>
                <w:rFonts w:ascii="Times New Roman" w:hAnsi="Times New Roman" w:cs="Times New Roman"/>
                <w:b/>
                <w:color w:val="000000"/>
                <w:sz w:val="21"/>
                <w:szCs w:val="21"/>
              </w:rPr>
            </w:pPr>
            <w:r>
              <w:rPr>
                <w:rFonts w:ascii="Times New Roman" w:hAnsi="Times New Roman" w:cs="Times New Roman"/>
                <w:b/>
                <w:color w:val="000000"/>
                <w:sz w:val="21"/>
                <w:szCs w:val="21"/>
              </w:rPr>
              <w:t>序号</w:t>
            </w:r>
          </w:p>
        </w:tc>
        <w:tc>
          <w:tcPr>
            <w:tcW w:w="2926" w:type="dxa"/>
            <w:shd w:val="clear" w:color="auto" w:fill="C6D9F0" w:themeFill="text2" w:themeFillTint="33"/>
            <w:vAlign w:val="center"/>
          </w:tcPr>
          <w:p>
            <w:pPr>
              <w:pStyle w:val="15"/>
              <w:spacing w:before="0" w:beforeAutospacing="0" w:after="0" w:afterAutospacing="0"/>
              <w:jc w:val="center"/>
              <w:rPr>
                <w:rFonts w:ascii="Times New Roman" w:hAnsi="Times New Roman" w:cs="Times New Roman"/>
                <w:b/>
                <w:color w:val="000000"/>
                <w:sz w:val="21"/>
                <w:szCs w:val="21"/>
              </w:rPr>
            </w:pPr>
            <w:r>
              <w:rPr>
                <w:rFonts w:ascii="Times New Roman" w:hAnsi="Times New Roman" w:cs="Times New Roman"/>
                <w:b/>
                <w:color w:val="000000"/>
                <w:sz w:val="21"/>
                <w:szCs w:val="21"/>
              </w:rPr>
              <w:t>名称</w:t>
            </w:r>
          </w:p>
        </w:tc>
        <w:tc>
          <w:tcPr>
            <w:tcW w:w="1290" w:type="dxa"/>
            <w:shd w:val="clear" w:color="auto" w:fill="C6D9F0" w:themeFill="text2" w:themeFillTint="33"/>
            <w:vAlign w:val="center"/>
          </w:tcPr>
          <w:p>
            <w:pPr>
              <w:pStyle w:val="15"/>
              <w:spacing w:before="0" w:beforeAutospacing="0" w:after="0" w:afterAutospacing="0"/>
              <w:jc w:val="center"/>
              <w:rPr>
                <w:rFonts w:ascii="Times New Roman" w:hAnsi="Times New Roman" w:cs="Times New Roman"/>
                <w:b/>
                <w:color w:val="000000"/>
                <w:sz w:val="21"/>
                <w:szCs w:val="21"/>
              </w:rPr>
            </w:pPr>
            <w:r>
              <w:rPr>
                <w:rFonts w:ascii="Times New Roman" w:hAnsi="Times New Roman" w:cs="Times New Roman"/>
                <w:b/>
                <w:color w:val="000000"/>
                <w:sz w:val="21"/>
                <w:szCs w:val="21"/>
              </w:rPr>
              <w:t>单位</w:t>
            </w:r>
          </w:p>
        </w:tc>
        <w:tc>
          <w:tcPr>
            <w:tcW w:w="1720" w:type="dxa"/>
            <w:shd w:val="clear" w:color="auto" w:fill="C6D9F0" w:themeFill="text2" w:themeFillTint="33"/>
            <w:vAlign w:val="center"/>
          </w:tcPr>
          <w:p>
            <w:pPr>
              <w:pStyle w:val="15"/>
              <w:spacing w:before="0" w:beforeAutospacing="0" w:after="0" w:afterAutospacing="0"/>
              <w:jc w:val="center"/>
              <w:rPr>
                <w:rFonts w:ascii="Times New Roman" w:hAnsi="Times New Roman" w:cs="Times New Roman"/>
                <w:b/>
                <w:color w:val="000000"/>
                <w:sz w:val="21"/>
                <w:szCs w:val="21"/>
              </w:rPr>
            </w:pPr>
            <w:r>
              <w:rPr>
                <w:rFonts w:hint="eastAsia" w:ascii="Times New Roman" w:hAnsi="Times New Roman" w:cs="Times New Roman"/>
                <w:b/>
                <w:color w:val="000000"/>
                <w:sz w:val="21"/>
                <w:szCs w:val="21"/>
              </w:rPr>
              <w:t>总</w:t>
            </w:r>
            <w:r>
              <w:rPr>
                <w:rFonts w:ascii="Times New Roman" w:hAnsi="Times New Roman" w:cs="Times New Roman"/>
                <w:b/>
                <w:color w:val="000000"/>
                <w:sz w:val="21"/>
                <w:szCs w:val="21"/>
              </w:rPr>
              <w:t>量</w:t>
            </w:r>
          </w:p>
        </w:tc>
        <w:tc>
          <w:tcPr>
            <w:tcW w:w="1690" w:type="dxa"/>
            <w:shd w:val="clear" w:color="auto" w:fill="C6D9F0" w:themeFill="text2" w:themeFillTint="33"/>
            <w:vAlign w:val="center"/>
          </w:tcPr>
          <w:p>
            <w:pPr>
              <w:pStyle w:val="15"/>
              <w:spacing w:before="0" w:beforeAutospacing="0" w:after="0" w:afterAutospacing="0"/>
              <w:jc w:val="center"/>
              <w:rPr>
                <w:rFonts w:ascii="Times New Roman" w:hAnsi="Times New Roman" w:cs="Times New Roman"/>
                <w:b/>
                <w:color w:val="000000"/>
                <w:sz w:val="21"/>
                <w:szCs w:val="21"/>
              </w:rPr>
            </w:pPr>
            <w:r>
              <w:rPr>
                <w:rFonts w:ascii="Times New Roman" w:hAnsi="Times New Roman" w:cs="Times New Roman"/>
                <w:b/>
                <w:color w:val="000000"/>
                <w:sz w:val="21"/>
                <w:szCs w:val="21"/>
              </w:rPr>
              <w:t>生均值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2" w:type="dxa"/>
            <w:vAlign w:val="center"/>
          </w:tcPr>
          <w:p>
            <w:pPr>
              <w:pStyle w:val="15"/>
              <w:spacing w:before="0" w:beforeAutospacing="0" w:after="0" w:afterAutospacing="0"/>
              <w:jc w:val="center"/>
              <w:rPr>
                <w:rFonts w:ascii="Times New Roman" w:hAnsi="Times New Roman" w:cs="Times New Roman"/>
                <w:color w:val="000000"/>
                <w:sz w:val="21"/>
                <w:szCs w:val="21"/>
              </w:rPr>
            </w:pPr>
            <w:r>
              <w:rPr>
                <w:rFonts w:ascii="Times New Roman" w:hAnsi="Times New Roman" w:cs="Times New Roman"/>
                <w:color w:val="000000"/>
                <w:sz w:val="21"/>
                <w:szCs w:val="21"/>
              </w:rPr>
              <w:t>1</w:t>
            </w:r>
          </w:p>
        </w:tc>
        <w:tc>
          <w:tcPr>
            <w:tcW w:w="2926" w:type="dxa"/>
            <w:vAlign w:val="center"/>
          </w:tcPr>
          <w:p>
            <w:pPr>
              <w:pStyle w:val="15"/>
              <w:spacing w:before="0" w:beforeAutospacing="0" w:after="0" w:afterAutospacing="0"/>
              <w:jc w:val="center"/>
              <w:rPr>
                <w:rFonts w:ascii="Times New Roman" w:hAnsi="Times New Roman" w:cs="Times New Roman"/>
                <w:sz w:val="21"/>
                <w:szCs w:val="21"/>
              </w:rPr>
            </w:pPr>
            <w:r>
              <w:rPr>
                <w:rFonts w:ascii="Times New Roman" w:hAnsi="Times New Roman" w:cs="Times New Roman"/>
                <w:sz w:val="21"/>
                <w:szCs w:val="21"/>
              </w:rPr>
              <w:t>占地面积</w:t>
            </w:r>
          </w:p>
        </w:tc>
        <w:tc>
          <w:tcPr>
            <w:tcW w:w="1290" w:type="dxa"/>
            <w:vAlign w:val="center"/>
          </w:tcPr>
          <w:p>
            <w:pPr>
              <w:pStyle w:val="15"/>
              <w:spacing w:before="0" w:beforeAutospacing="0" w:after="0" w:afterAutospacing="0"/>
              <w:jc w:val="center"/>
              <w:rPr>
                <w:rFonts w:ascii="Times New Roman" w:hAnsi="Times New Roman" w:cs="Times New Roman"/>
                <w:sz w:val="21"/>
                <w:szCs w:val="21"/>
              </w:rPr>
            </w:pPr>
            <w:bookmarkStart w:id="8" w:name="OLE_LINK67"/>
            <w:bookmarkStart w:id="9" w:name="OLE_LINK68"/>
            <w:r>
              <w:rPr>
                <w:rFonts w:ascii="Times New Roman" w:hAnsi="Times New Roman" w:cs="Times New Roman"/>
                <w:sz w:val="21"/>
                <w:szCs w:val="21"/>
              </w:rPr>
              <w:t>m</w:t>
            </w:r>
            <w:r>
              <w:rPr>
                <w:rFonts w:ascii="Times New Roman" w:hAnsi="Times New Roman" w:cs="Times New Roman"/>
                <w:sz w:val="21"/>
                <w:szCs w:val="21"/>
                <w:vertAlign w:val="superscript"/>
              </w:rPr>
              <w:t>2</w:t>
            </w:r>
            <w:bookmarkEnd w:id="8"/>
            <w:bookmarkEnd w:id="9"/>
          </w:p>
        </w:tc>
        <w:tc>
          <w:tcPr>
            <w:tcW w:w="1720" w:type="dxa"/>
            <w:vAlign w:val="center"/>
          </w:tcPr>
          <w:p>
            <w:pPr>
              <w:widowControl/>
              <w:jc w:val="center"/>
              <w:rPr>
                <w:rFonts w:ascii="Times New Roman" w:hAnsi="Times New Roman"/>
                <w:kern w:val="0"/>
                <w:szCs w:val="21"/>
              </w:rPr>
            </w:pPr>
            <w:r>
              <w:rPr>
                <w:rFonts w:ascii="Times New Roman" w:hAnsi="Times New Roman"/>
                <w:kern w:val="0"/>
                <w:szCs w:val="21"/>
              </w:rPr>
              <w:t>316340</w:t>
            </w:r>
          </w:p>
        </w:tc>
        <w:tc>
          <w:tcPr>
            <w:tcW w:w="1690" w:type="dxa"/>
            <w:vAlign w:val="center"/>
          </w:tcPr>
          <w:p>
            <w:pPr>
              <w:widowControl/>
              <w:jc w:val="center"/>
              <w:rPr>
                <w:rFonts w:ascii="Times New Roman" w:hAnsi="Times New Roman"/>
                <w:kern w:val="0"/>
                <w:szCs w:val="21"/>
              </w:rPr>
            </w:pPr>
            <w:r>
              <w:rPr>
                <w:rFonts w:hint="default" w:ascii="Times New Roman" w:hAnsi="Times New Roman"/>
                <w:kern w:val="0"/>
                <w:szCs w:val="21"/>
              </w:rPr>
              <w:t>216</w:t>
            </w:r>
            <w:r>
              <w:rPr>
                <w:rFonts w:hint="eastAsia" w:ascii="Times New Roman" w:hAnsi="Times New Roman"/>
                <w:kern w:val="0"/>
                <w:szCs w:val="21"/>
                <w:lang w:val="en-US" w:eastAsia="zh-Hans"/>
              </w:rPr>
              <w:t>.</w:t>
            </w:r>
            <w:r>
              <w:rPr>
                <w:rFonts w:hint="default" w:ascii="Times New Roman" w:hAnsi="Times New Roman"/>
                <w:kern w:val="0"/>
                <w:szCs w:val="21"/>
                <w:lang w:eastAsia="zh-Hans"/>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2" w:type="dxa"/>
            <w:vAlign w:val="center"/>
          </w:tcPr>
          <w:p>
            <w:pPr>
              <w:pStyle w:val="15"/>
              <w:spacing w:before="0" w:beforeAutospacing="0" w:after="0" w:afterAutospacing="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2</w:t>
            </w:r>
          </w:p>
        </w:tc>
        <w:tc>
          <w:tcPr>
            <w:tcW w:w="2926" w:type="dxa"/>
            <w:vAlign w:val="center"/>
          </w:tcPr>
          <w:p>
            <w:pPr>
              <w:widowControl/>
              <w:jc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校舍建筑面积</w:t>
            </w:r>
          </w:p>
        </w:tc>
        <w:tc>
          <w:tcPr>
            <w:tcW w:w="1290" w:type="dxa"/>
            <w:vAlign w:val="center"/>
          </w:tcPr>
          <w:p>
            <w:pPr>
              <w:pStyle w:val="15"/>
              <w:spacing w:before="0" w:beforeAutospacing="0" w:after="0" w:afterAutospacing="0"/>
              <w:jc w:val="center"/>
              <w:rPr>
                <w:rFonts w:ascii="Times New Roman" w:hAnsi="Times New Roman" w:cs="Times New Roman"/>
                <w:color w:val="000000" w:themeColor="text1"/>
                <w:sz w:val="21"/>
                <w:szCs w:val="21"/>
                <w14:textFill>
                  <w14:solidFill>
                    <w14:schemeClr w14:val="tx1"/>
                  </w14:solidFill>
                </w14:textFill>
              </w:rPr>
            </w:pPr>
            <w:bookmarkStart w:id="10" w:name="OLE_LINK70"/>
            <w:bookmarkStart w:id="11" w:name="OLE_LINK71"/>
            <w:bookmarkStart w:id="12" w:name="OLE_LINK69"/>
            <w:r>
              <w:rPr>
                <w:rFonts w:ascii="Times New Roman" w:hAnsi="Times New Roman" w:cs="Times New Roman"/>
                <w:color w:val="000000" w:themeColor="text1"/>
                <w:sz w:val="21"/>
                <w:szCs w:val="21"/>
                <w14:textFill>
                  <w14:solidFill>
                    <w14:schemeClr w14:val="tx1"/>
                  </w14:solidFill>
                </w14:textFill>
              </w:rPr>
              <w:t>m</w:t>
            </w:r>
            <w:r>
              <w:rPr>
                <w:rFonts w:ascii="Times New Roman" w:hAnsi="Times New Roman" w:cs="Times New Roman"/>
                <w:color w:val="000000" w:themeColor="text1"/>
                <w:sz w:val="21"/>
                <w:szCs w:val="21"/>
                <w:vertAlign w:val="superscript"/>
                <w14:textFill>
                  <w14:solidFill>
                    <w14:schemeClr w14:val="tx1"/>
                  </w14:solidFill>
                </w14:textFill>
              </w:rPr>
              <w:t>2</w:t>
            </w:r>
            <w:bookmarkEnd w:id="10"/>
            <w:bookmarkEnd w:id="11"/>
            <w:bookmarkEnd w:id="12"/>
          </w:p>
        </w:tc>
        <w:tc>
          <w:tcPr>
            <w:tcW w:w="1720" w:type="dxa"/>
            <w:vAlign w:val="center"/>
          </w:tcPr>
          <w:p>
            <w:pPr>
              <w:widowControl/>
              <w:jc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73202</w:t>
            </w:r>
          </w:p>
        </w:tc>
        <w:tc>
          <w:tcPr>
            <w:tcW w:w="1690" w:type="dxa"/>
            <w:vAlign w:val="center"/>
          </w:tcPr>
          <w:p>
            <w:pPr>
              <w:widowControl/>
              <w:jc w:val="center"/>
              <w:rPr>
                <w:rFonts w:ascii="Times New Roman" w:hAnsi="Times New Roman"/>
                <w:color w:val="000000" w:themeColor="text1"/>
                <w:kern w:val="0"/>
                <w:szCs w:val="21"/>
                <w14:textFill>
                  <w14:solidFill>
                    <w14:schemeClr w14:val="tx1"/>
                  </w14:solidFill>
                </w14:textFill>
              </w:rPr>
            </w:pPr>
            <w:r>
              <w:rPr>
                <w:rFonts w:hint="default" w:ascii="Times New Roman" w:hAnsi="Times New Roman"/>
                <w:color w:val="000000" w:themeColor="text1"/>
                <w:kern w:val="0"/>
                <w:szCs w:val="21"/>
                <w14:textFill>
                  <w14:solidFill>
                    <w14:schemeClr w14:val="tx1"/>
                  </w14:solidFill>
                </w14:textFill>
              </w:rPr>
              <w:t>50</w:t>
            </w:r>
            <w:r>
              <w:rPr>
                <w:rFonts w:hint="eastAsia" w:ascii="Times New Roman" w:hAnsi="Times New Roman"/>
                <w:color w:val="000000" w:themeColor="text1"/>
                <w:kern w:val="0"/>
                <w:szCs w:val="21"/>
                <w:lang w:val="en-US" w:eastAsia="zh-Hans"/>
                <w14:textFill>
                  <w14:solidFill>
                    <w14:schemeClr w14:val="tx1"/>
                  </w14:solidFill>
                </w14:textFill>
              </w:rPr>
              <w:t>.</w:t>
            </w:r>
            <w:r>
              <w:rPr>
                <w:rFonts w:hint="default" w:ascii="Times New Roman" w:hAnsi="Times New Roman"/>
                <w:color w:val="000000" w:themeColor="text1"/>
                <w:kern w:val="0"/>
                <w:szCs w:val="21"/>
                <w:lang w:eastAsia="zh-Hans"/>
                <w14:textFill>
                  <w14:solidFill>
                    <w14:schemeClr w14:val="tx1"/>
                  </w14:solidFill>
                </w14:textFill>
              </w:rPr>
              <w:t>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2" w:type="dxa"/>
            <w:vAlign w:val="center"/>
          </w:tcPr>
          <w:p>
            <w:pPr>
              <w:pStyle w:val="15"/>
              <w:spacing w:before="0" w:beforeAutospacing="0" w:after="0" w:afterAutospacing="0"/>
              <w:jc w:val="center"/>
              <w:rPr>
                <w:rFonts w:ascii="Times New Roman" w:hAnsi="Times New Roman" w:cs="Times New Roman"/>
                <w:color w:val="000000"/>
                <w:sz w:val="21"/>
                <w:szCs w:val="21"/>
              </w:rPr>
            </w:pPr>
            <w:r>
              <w:rPr>
                <w:rFonts w:ascii="Times New Roman" w:hAnsi="Times New Roman" w:cs="Times New Roman"/>
                <w:color w:val="000000"/>
                <w:sz w:val="21"/>
                <w:szCs w:val="21"/>
              </w:rPr>
              <w:t>3</w:t>
            </w:r>
          </w:p>
        </w:tc>
        <w:tc>
          <w:tcPr>
            <w:tcW w:w="2926" w:type="dxa"/>
            <w:vAlign w:val="center"/>
          </w:tcPr>
          <w:p>
            <w:pPr>
              <w:widowControl/>
              <w:jc w:val="center"/>
              <w:rPr>
                <w:rFonts w:ascii="Times New Roman" w:hAnsi="Times New Roman"/>
                <w:kern w:val="0"/>
                <w:szCs w:val="21"/>
              </w:rPr>
            </w:pPr>
            <w:r>
              <w:rPr>
                <w:rFonts w:ascii="Times New Roman" w:hAnsi="Times New Roman"/>
                <w:kern w:val="0"/>
                <w:szCs w:val="21"/>
              </w:rPr>
              <w:t>教学及辅助用房面积</w:t>
            </w:r>
          </w:p>
        </w:tc>
        <w:tc>
          <w:tcPr>
            <w:tcW w:w="1290" w:type="dxa"/>
            <w:vAlign w:val="center"/>
          </w:tcPr>
          <w:p>
            <w:pPr>
              <w:widowControl/>
              <w:jc w:val="center"/>
              <w:rPr>
                <w:rFonts w:ascii="Times New Roman" w:hAnsi="Times New Roman"/>
                <w:kern w:val="0"/>
                <w:szCs w:val="21"/>
              </w:rPr>
            </w:pPr>
            <w:r>
              <w:rPr>
                <w:rFonts w:ascii="Times New Roman" w:hAnsi="Times New Roman"/>
                <w:szCs w:val="21"/>
              </w:rPr>
              <w:t>m</w:t>
            </w:r>
            <w:r>
              <w:rPr>
                <w:rFonts w:ascii="Times New Roman" w:hAnsi="Times New Roman"/>
                <w:szCs w:val="21"/>
                <w:vertAlign w:val="superscript"/>
              </w:rPr>
              <w:t>2</w:t>
            </w:r>
          </w:p>
        </w:tc>
        <w:tc>
          <w:tcPr>
            <w:tcW w:w="1720" w:type="dxa"/>
            <w:vAlign w:val="center"/>
          </w:tcPr>
          <w:p>
            <w:pPr>
              <w:widowControl/>
              <w:jc w:val="center"/>
              <w:rPr>
                <w:rFonts w:ascii="Times New Roman" w:hAnsi="Times New Roman"/>
                <w:kern w:val="0"/>
                <w:szCs w:val="21"/>
              </w:rPr>
            </w:pPr>
            <w:r>
              <w:rPr>
                <w:rFonts w:hint="eastAsia" w:ascii="Times New Roman" w:hAnsi="Times New Roman"/>
                <w:kern w:val="0"/>
                <w:szCs w:val="21"/>
              </w:rPr>
              <w:t>29877</w:t>
            </w:r>
          </w:p>
        </w:tc>
        <w:tc>
          <w:tcPr>
            <w:tcW w:w="1690" w:type="dxa"/>
            <w:vAlign w:val="center"/>
          </w:tcPr>
          <w:p>
            <w:pPr>
              <w:widowControl/>
              <w:jc w:val="center"/>
              <w:rPr>
                <w:rFonts w:ascii="Times New Roman" w:hAnsi="Times New Roman"/>
                <w:kern w:val="0"/>
                <w:szCs w:val="21"/>
              </w:rPr>
            </w:pPr>
            <w:r>
              <w:rPr>
                <w:rFonts w:hint="default" w:ascii="Times New Roman" w:hAnsi="Times New Roman"/>
                <w:kern w:val="0"/>
                <w:szCs w:val="21"/>
              </w:rPr>
              <w:t>20</w:t>
            </w:r>
            <w:r>
              <w:rPr>
                <w:rFonts w:hint="eastAsia" w:ascii="Times New Roman" w:hAnsi="Times New Roman"/>
                <w:kern w:val="0"/>
                <w:szCs w:val="21"/>
                <w:lang w:val="en-US" w:eastAsia="zh-Hans"/>
              </w:rPr>
              <w:t>.</w:t>
            </w:r>
            <w:r>
              <w:rPr>
                <w:rFonts w:hint="default" w:ascii="Times New Roman" w:hAnsi="Times New Roman"/>
                <w:kern w:val="0"/>
                <w:szCs w:val="21"/>
                <w:lang w:eastAsia="zh-Hans"/>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2" w:type="dxa"/>
            <w:vAlign w:val="center"/>
          </w:tcPr>
          <w:p>
            <w:pPr>
              <w:pStyle w:val="15"/>
              <w:spacing w:before="0" w:beforeAutospacing="0" w:after="0" w:afterAutospacing="0"/>
              <w:jc w:val="center"/>
              <w:rPr>
                <w:rFonts w:ascii="Times New Roman" w:hAnsi="Times New Roman" w:cs="Times New Roman"/>
                <w:color w:val="000000"/>
                <w:sz w:val="21"/>
                <w:szCs w:val="21"/>
              </w:rPr>
            </w:pPr>
            <w:r>
              <w:rPr>
                <w:rFonts w:ascii="Times New Roman" w:hAnsi="Times New Roman" w:cs="Times New Roman"/>
                <w:color w:val="000000"/>
                <w:sz w:val="21"/>
                <w:szCs w:val="21"/>
              </w:rPr>
              <w:t>4</w:t>
            </w:r>
          </w:p>
        </w:tc>
        <w:tc>
          <w:tcPr>
            <w:tcW w:w="2926" w:type="dxa"/>
            <w:vAlign w:val="center"/>
          </w:tcPr>
          <w:p>
            <w:pPr>
              <w:widowControl/>
              <w:jc w:val="center"/>
              <w:rPr>
                <w:rFonts w:ascii="Times New Roman" w:hAnsi="Times New Roman"/>
                <w:kern w:val="0"/>
                <w:szCs w:val="21"/>
              </w:rPr>
            </w:pPr>
            <w:r>
              <w:rPr>
                <w:rFonts w:ascii="Times New Roman" w:hAnsi="Times New Roman"/>
                <w:kern w:val="0"/>
                <w:szCs w:val="21"/>
              </w:rPr>
              <w:t>学生宿舍面积</w:t>
            </w:r>
          </w:p>
        </w:tc>
        <w:tc>
          <w:tcPr>
            <w:tcW w:w="1290" w:type="dxa"/>
            <w:vAlign w:val="center"/>
          </w:tcPr>
          <w:p>
            <w:pPr>
              <w:widowControl/>
              <w:jc w:val="center"/>
              <w:rPr>
                <w:rFonts w:ascii="Times New Roman" w:hAnsi="Times New Roman"/>
                <w:kern w:val="0"/>
                <w:szCs w:val="21"/>
              </w:rPr>
            </w:pPr>
            <w:r>
              <w:rPr>
                <w:rFonts w:ascii="Times New Roman" w:hAnsi="Times New Roman"/>
                <w:szCs w:val="21"/>
              </w:rPr>
              <w:t>m</w:t>
            </w:r>
            <w:r>
              <w:rPr>
                <w:rFonts w:ascii="Times New Roman" w:hAnsi="Times New Roman"/>
                <w:szCs w:val="21"/>
                <w:vertAlign w:val="superscript"/>
              </w:rPr>
              <w:t>2</w:t>
            </w:r>
          </w:p>
        </w:tc>
        <w:tc>
          <w:tcPr>
            <w:tcW w:w="1720" w:type="dxa"/>
            <w:vAlign w:val="center"/>
          </w:tcPr>
          <w:p>
            <w:pPr>
              <w:widowControl/>
              <w:jc w:val="center"/>
              <w:rPr>
                <w:rFonts w:ascii="Times New Roman" w:hAnsi="Times New Roman"/>
                <w:kern w:val="0"/>
                <w:szCs w:val="21"/>
              </w:rPr>
            </w:pPr>
            <w:r>
              <w:rPr>
                <w:rFonts w:hint="eastAsia" w:ascii="Times New Roman" w:hAnsi="Times New Roman"/>
                <w:kern w:val="0"/>
                <w:szCs w:val="21"/>
              </w:rPr>
              <w:t>28860</w:t>
            </w:r>
          </w:p>
        </w:tc>
        <w:tc>
          <w:tcPr>
            <w:tcW w:w="1690" w:type="dxa"/>
            <w:vAlign w:val="center"/>
          </w:tcPr>
          <w:p>
            <w:pPr>
              <w:widowControl/>
              <w:jc w:val="center"/>
              <w:rPr>
                <w:rFonts w:ascii="Times New Roman" w:hAnsi="Times New Roman"/>
                <w:kern w:val="0"/>
                <w:szCs w:val="21"/>
              </w:rPr>
            </w:pPr>
            <w:r>
              <w:rPr>
                <w:rFonts w:hint="default" w:ascii="Times New Roman" w:hAnsi="Times New Roman"/>
                <w:kern w:val="0"/>
                <w:szCs w:val="21"/>
              </w:rPr>
              <w:t>19</w:t>
            </w:r>
            <w:r>
              <w:rPr>
                <w:rFonts w:hint="eastAsia" w:ascii="Times New Roman" w:hAnsi="Times New Roman"/>
                <w:kern w:val="0"/>
                <w:szCs w:val="21"/>
                <w:lang w:val="en-US" w:eastAsia="zh-Hans"/>
              </w:rPr>
              <w:t>.</w:t>
            </w:r>
            <w:r>
              <w:rPr>
                <w:rFonts w:hint="default" w:ascii="Times New Roman" w:hAnsi="Times New Roman"/>
                <w:kern w:val="0"/>
                <w:szCs w:val="21"/>
                <w:lang w:eastAsia="zh-Hans"/>
              </w:rPr>
              <w:t>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2" w:type="dxa"/>
            <w:vAlign w:val="center"/>
          </w:tcPr>
          <w:p>
            <w:pPr>
              <w:pStyle w:val="15"/>
              <w:spacing w:before="0" w:beforeAutospacing="0" w:after="0" w:afterAutospacing="0"/>
              <w:jc w:val="center"/>
              <w:rPr>
                <w:rFonts w:ascii="Times New Roman" w:hAnsi="Times New Roman" w:cs="Times New Roman"/>
                <w:color w:val="000000" w:themeColor="text1"/>
                <w:sz w:val="21"/>
                <w:szCs w:val="21"/>
                <w14:textFill>
                  <w14:solidFill>
                    <w14:schemeClr w14:val="tx1"/>
                  </w14:solidFill>
                </w14:textFill>
              </w:rPr>
            </w:pPr>
            <w:r>
              <w:rPr>
                <w:rFonts w:ascii="Times New Roman" w:hAnsi="Times New Roman" w:cs="Times New Roman"/>
                <w:color w:val="000000" w:themeColor="text1"/>
                <w:sz w:val="21"/>
                <w:szCs w:val="21"/>
                <w14:textFill>
                  <w14:solidFill>
                    <w14:schemeClr w14:val="tx1"/>
                  </w14:solidFill>
                </w14:textFill>
              </w:rPr>
              <w:t>5</w:t>
            </w:r>
          </w:p>
        </w:tc>
        <w:tc>
          <w:tcPr>
            <w:tcW w:w="2926" w:type="dxa"/>
            <w:vAlign w:val="center"/>
          </w:tcPr>
          <w:p>
            <w:pPr>
              <w:widowControl/>
              <w:jc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心理咨询室建筑面积</w:t>
            </w:r>
          </w:p>
        </w:tc>
        <w:tc>
          <w:tcPr>
            <w:tcW w:w="1290" w:type="dxa"/>
            <w:vAlign w:val="center"/>
          </w:tcPr>
          <w:p>
            <w:pPr>
              <w:widowControl/>
              <w:jc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m</w:t>
            </w:r>
            <w:r>
              <w:rPr>
                <w:rFonts w:ascii="Times New Roman" w:hAnsi="Times New Roman"/>
                <w:color w:val="000000" w:themeColor="text1"/>
                <w:kern w:val="0"/>
                <w:szCs w:val="21"/>
                <w:vertAlign w:val="superscript"/>
                <w14:textFill>
                  <w14:solidFill>
                    <w14:schemeClr w14:val="tx1"/>
                  </w14:solidFill>
                </w14:textFill>
              </w:rPr>
              <w:t>2</w:t>
            </w:r>
          </w:p>
        </w:tc>
        <w:tc>
          <w:tcPr>
            <w:tcW w:w="1720" w:type="dxa"/>
            <w:vAlign w:val="center"/>
          </w:tcPr>
          <w:p>
            <w:pPr>
              <w:widowControl/>
              <w:jc w:val="center"/>
              <w:textAlignment w:val="center"/>
              <w:rPr>
                <w:rFonts w:ascii="Times New Roman" w:hAnsi="Times New Roman"/>
                <w:color w:val="000000" w:themeColor="text1"/>
                <w:kern w:val="0"/>
                <w:szCs w:val="21"/>
                <w14:textFill>
                  <w14:solidFill>
                    <w14:schemeClr w14:val="tx1"/>
                  </w14:solidFill>
                </w14:textFill>
              </w:rPr>
            </w:pPr>
            <w:r>
              <w:rPr>
                <w:rFonts w:hint="eastAsia" w:ascii="Times New Roman" w:hAnsi="Times New Roman"/>
                <w:color w:val="000000" w:themeColor="text1"/>
                <w:kern w:val="0"/>
                <w:szCs w:val="21"/>
                <w14:textFill>
                  <w14:solidFill>
                    <w14:schemeClr w14:val="tx1"/>
                  </w14:solidFill>
                </w14:textFill>
              </w:rPr>
              <w:t>313</w:t>
            </w:r>
          </w:p>
        </w:tc>
        <w:tc>
          <w:tcPr>
            <w:tcW w:w="1690" w:type="dxa"/>
            <w:vAlign w:val="center"/>
          </w:tcPr>
          <w:p>
            <w:pPr>
              <w:widowControl/>
              <w:jc w:val="center"/>
              <w:rPr>
                <w:rFonts w:ascii="Times New Roman" w:hAnsi="Times New Roman"/>
                <w:color w:val="000000" w:themeColor="text1"/>
                <w:kern w:val="0"/>
                <w:szCs w:val="21"/>
                <w14:textFill>
                  <w14:solidFill>
                    <w14:schemeClr w14:val="tx1"/>
                  </w14:solidFill>
                </w14:textFill>
              </w:rPr>
            </w:pPr>
            <w:r>
              <w:rPr>
                <w:rFonts w:ascii="Times New Roman" w:hAnsi="Times New Roman"/>
                <w:color w:val="000000" w:themeColor="text1"/>
                <w:kern w:val="0"/>
                <w:szCs w:val="21"/>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52" w:type="dxa"/>
            <w:vAlign w:val="center"/>
          </w:tcPr>
          <w:p>
            <w:pPr>
              <w:pStyle w:val="15"/>
              <w:spacing w:before="0" w:beforeAutospacing="0" w:after="0" w:afterAutospacing="0"/>
              <w:jc w:val="center"/>
              <w:rPr>
                <w:rFonts w:ascii="Times New Roman" w:hAnsi="Times New Roman" w:cs="Times New Roman"/>
                <w:color w:val="000000"/>
                <w:sz w:val="21"/>
                <w:szCs w:val="21"/>
              </w:rPr>
            </w:pPr>
            <w:r>
              <w:rPr>
                <w:rFonts w:ascii="Times New Roman" w:hAnsi="Times New Roman" w:cs="Times New Roman"/>
                <w:color w:val="000000"/>
                <w:sz w:val="21"/>
                <w:szCs w:val="21"/>
              </w:rPr>
              <w:t>6</w:t>
            </w:r>
          </w:p>
        </w:tc>
        <w:tc>
          <w:tcPr>
            <w:tcW w:w="2926" w:type="dxa"/>
            <w:vAlign w:val="center"/>
          </w:tcPr>
          <w:p>
            <w:pPr>
              <w:widowControl/>
              <w:jc w:val="center"/>
              <w:rPr>
                <w:rFonts w:ascii="Times New Roman" w:hAnsi="Times New Roman"/>
                <w:kern w:val="0"/>
                <w:szCs w:val="21"/>
              </w:rPr>
            </w:pPr>
            <w:r>
              <w:rPr>
                <w:rFonts w:ascii="Times New Roman" w:hAnsi="Times New Roman"/>
                <w:kern w:val="0"/>
                <w:szCs w:val="21"/>
              </w:rPr>
              <w:t>校内实训用房面积</w:t>
            </w:r>
          </w:p>
        </w:tc>
        <w:tc>
          <w:tcPr>
            <w:tcW w:w="1290" w:type="dxa"/>
            <w:vAlign w:val="center"/>
          </w:tcPr>
          <w:p>
            <w:pPr>
              <w:widowControl/>
              <w:jc w:val="center"/>
              <w:rPr>
                <w:rFonts w:ascii="Times New Roman" w:hAnsi="Times New Roman"/>
                <w:kern w:val="0"/>
                <w:szCs w:val="21"/>
              </w:rPr>
            </w:pPr>
            <w:r>
              <w:rPr>
                <w:rFonts w:ascii="Times New Roman" w:hAnsi="Times New Roman"/>
                <w:kern w:val="0"/>
                <w:szCs w:val="21"/>
              </w:rPr>
              <w:t>m</w:t>
            </w:r>
            <w:r>
              <w:rPr>
                <w:rFonts w:ascii="Times New Roman" w:hAnsi="Times New Roman"/>
                <w:kern w:val="0"/>
                <w:szCs w:val="21"/>
                <w:vertAlign w:val="superscript"/>
              </w:rPr>
              <w:t>2</w:t>
            </w:r>
          </w:p>
        </w:tc>
        <w:tc>
          <w:tcPr>
            <w:tcW w:w="1720" w:type="dxa"/>
            <w:vAlign w:val="center"/>
          </w:tcPr>
          <w:p>
            <w:pPr>
              <w:widowControl/>
              <w:jc w:val="center"/>
              <w:rPr>
                <w:rFonts w:ascii="Times New Roman" w:hAnsi="Times New Roman"/>
                <w:kern w:val="0"/>
                <w:szCs w:val="21"/>
              </w:rPr>
            </w:pPr>
            <w:r>
              <w:rPr>
                <w:rFonts w:hint="eastAsia" w:ascii="Times New Roman" w:hAnsi="Times New Roman"/>
                <w:kern w:val="0"/>
                <w:szCs w:val="21"/>
              </w:rPr>
              <w:t>10670</w:t>
            </w:r>
          </w:p>
        </w:tc>
        <w:tc>
          <w:tcPr>
            <w:tcW w:w="1690" w:type="dxa"/>
            <w:vAlign w:val="center"/>
          </w:tcPr>
          <w:p>
            <w:pPr>
              <w:widowControl/>
              <w:jc w:val="center"/>
              <w:rPr>
                <w:rFonts w:ascii="Times New Roman" w:hAnsi="Times New Roman"/>
                <w:kern w:val="0"/>
                <w:szCs w:val="21"/>
              </w:rPr>
            </w:pPr>
            <w:r>
              <w:rPr>
                <w:rFonts w:ascii="Times New Roman" w:hAnsi="Times New Roman"/>
                <w:color w:val="000000" w:themeColor="text1"/>
                <w:kern w:val="0"/>
                <w:szCs w:val="21"/>
                <w14:textFill>
                  <w14:solidFill>
                    <w14:schemeClr w14:val="tx1"/>
                  </w14:solidFill>
                </w14:textFill>
              </w:rPr>
              <w:t>—</w:t>
            </w:r>
          </w:p>
        </w:tc>
      </w:tr>
    </w:tbl>
    <w:p>
      <w:pPr>
        <w:rPr>
          <w:rFonts w:ascii="Times New Roman" w:hAnsi="Times New Roman" w:eastAsia="楷体"/>
        </w:rPr>
      </w:pPr>
      <w:r>
        <w:rPr>
          <w:rFonts w:hint="eastAsia" w:ascii="Times New Roman" w:hAnsi="Times New Roman" w:eastAsia="楷体"/>
        </w:rPr>
        <w:t>备注：由于学校与青海柴达木职业技术学院实行“一园两校、一套班子、两块牌子，资源共享、管理有别、一体运行”管理体制，共享校园、校舍、教学及辅助用房、学生宿舍、教学仪器设备、图书等办学资源，各项生均指标可能会偏高，特此说明。</w:t>
      </w:r>
    </w:p>
    <w:p>
      <w:pPr>
        <w:pStyle w:val="5"/>
        <w:rPr>
          <w:rFonts w:ascii="Times New Roman" w:hAnsi="Times New Roman"/>
        </w:rPr>
      </w:pPr>
      <w:bookmarkStart w:id="13" w:name="_Toc32523"/>
      <w:bookmarkStart w:id="14" w:name="_Toc61256670"/>
      <w:r>
        <w:rPr>
          <w:rFonts w:ascii="Times New Roman" w:hAnsi="Times New Roman"/>
        </w:rPr>
        <w:t>（二）学生情况</w:t>
      </w:r>
      <w:bookmarkEnd w:id="13"/>
      <w:bookmarkEnd w:id="14"/>
    </w:p>
    <w:p>
      <w:pPr>
        <w:pStyle w:val="34"/>
        <w:ind w:firstLine="562"/>
        <w:rPr>
          <w:rFonts w:ascii="Times New Roman" w:hAnsi="Times New Roman" w:cs="Times New Roman"/>
          <w:b/>
        </w:rPr>
      </w:pPr>
      <w:r>
        <w:rPr>
          <w:rFonts w:ascii="Times New Roman" w:hAnsi="Times New Roman" w:cs="Times New Roman"/>
          <w:b/>
        </w:rPr>
        <w:t>1.学生规模</w:t>
      </w:r>
    </w:p>
    <w:p>
      <w:pPr>
        <w:pStyle w:val="34"/>
        <w:spacing w:line="300" w:lineRule="auto"/>
        <w:ind w:firstLine="480"/>
        <w:rPr>
          <w:rFonts w:ascii="Times New Roman" w:hAnsi="Times New Roman" w:cs="Times New Roman"/>
          <w:sz w:val="24"/>
          <w:szCs w:val="28"/>
        </w:rPr>
      </w:pPr>
      <w:r>
        <w:rPr>
          <w:rFonts w:hint="eastAsia" w:ascii="Times New Roman" w:hAnsi="Times New Roman" w:cs="Times New Roman"/>
          <w:sz w:val="24"/>
          <w:szCs w:val="28"/>
        </w:rPr>
        <w:t>本</w:t>
      </w:r>
      <w:r>
        <w:rPr>
          <w:rFonts w:ascii="Times New Roman" w:hAnsi="Times New Roman" w:cs="Times New Roman"/>
          <w:sz w:val="24"/>
          <w:szCs w:val="28"/>
        </w:rPr>
        <w:t>学年</w:t>
      </w:r>
      <w:r>
        <w:rPr>
          <w:rFonts w:hint="eastAsia" w:ascii="Times New Roman" w:hAnsi="Times New Roman" w:cs="Times New Roman"/>
          <w:sz w:val="24"/>
          <w:szCs w:val="28"/>
        </w:rPr>
        <w:t>，学校</w:t>
      </w:r>
      <w:r>
        <w:rPr>
          <w:rFonts w:ascii="Times New Roman" w:hAnsi="Times New Roman" w:cs="Times New Roman"/>
          <w:sz w:val="24"/>
          <w:szCs w:val="28"/>
        </w:rPr>
        <w:t>中等职业教育全日制在校生数共计</w:t>
      </w:r>
      <w:r>
        <w:rPr>
          <w:rFonts w:hint="eastAsia" w:ascii="Times New Roman" w:hAnsi="Times New Roman" w:cs="Times New Roman"/>
          <w:sz w:val="24"/>
          <w:szCs w:val="28"/>
          <w:lang w:val="en-US" w:eastAsia="zh-CN"/>
        </w:rPr>
        <w:t>1463</w:t>
      </w:r>
      <w:r>
        <w:rPr>
          <w:rFonts w:ascii="Times New Roman" w:hAnsi="Times New Roman" w:cs="Times New Roman"/>
          <w:sz w:val="24"/>
          <w:szCs w:val="28"/>
        </w:rPr>
        <w:t>人，较上</w:t>
      </w:r>
      <w:r>
        <w:rPr>
          <w:rFonts w:hint="eastAsia" w:ascii="Times New Roman" w:hAnsi="Times New Roman" w:cs="Times New Roman"/>
          <w:sz w:val="24"/>
          <w:szCs w:val="28"/>
        </w:rPr>
        <w:t>学</w:t>
      </w:r>
      <w:r>
        <w:rPr>
          <w:rFonts w:ascii="Times New Roman" w:hAnsi="Times New Roman" w:cs="Times New Roman"/>
          <w:sz w:val="24"/>
          <w:szCs w:val="28"/>
        </w:rPr>
        <w:t>年</w:t>
      </w:r>
      <w:r>
        <w:rPr>
          <w:rFonts w:hint="eastAsia" w:ascii="Times New Roman" w:hAnsi="Times New Roman" w:cs="Times New Roman"/>
          <w:sz w:val="24"/>
          <w:szCs w:val="28"/>
          <w:lang w:val="en-US" w:eastAsia="zh-CN"/>
        </w:rPr>
        <w:t>增加179</w:t>
      </w:r>
      <w:r>
        <w:rPr>
          <w:rFonts w:ascii="Times New Roman" w:hAnsi="Times New Roman" w:cs="Times New Roman"/>
          <w:sz w:val="24"/>
          <w:szCs w:val="28"/>
        </w:rPr>
        <w:t>人，</w:t>
      </w:r>
      <w:r>
        <w:rPr>
          <w:rFonts w:hint="eastAsia" w:ascii="Times New Roman" w:hAnsi="Times New Roman" w:cs="Times New Roman"/>
          <w:sz w:val="24"/>
          <w:szCs w:val="28"/>
          <w:lang w:val="en-US" w:eastAsia="zh-CN"/>
        </w:rPr>
        <w:t>增</w:t>
      </w:r>
      <w:r>
        <w:rPr>
          <w:rFonts w:ascii="Times New Roman" w:hAnsi="Times New Roman" w:cs="Times New Roman"/>
          <w:sz w:val="24"/>
          <w:szCs w:val="28"/>
        </w:rPr>
        <w:t>幅</w:t>
      </w:r>
      <w:r>
        <w:rPr>
          <w:rFonts w:hint="eastAsia" w:ascii="Times New Roman" w:hAnsi="Times New Roman" w:cs="Times New Roman"/>
          <w:sz w:val="24"/>
          <w:szCs w:val="28"/>
          <w:lang w:val="en-US" w:eastAsia="zh-CN"/>
        </w:rPr>
        <w:t>13.94</w:t>
      </w:r>
      <w:r>
        <w:rPr>
          <w:rFonts w:ascii="Times New Roman" w:hAnsi="Times New Roman" w:cs="Times New Roman"/>
          <w:sz w:val="24"/>
          <w:szCs w:val="28"/>
        </w:rPr>
        <w:t>%</w:t>
      </w:r>
      <w:r>
        <w:rPr>
          <w:rFonts w:hint="eastAsia" w:ascii="Times New Roman" w:hAnsi="Times New Roman" w:cs="Times New Roman"/>
          <w:sz w:val="24"/>
          <w:szCs w:val="28"/>
        </w:rPr>
        <w:t>；</w:t>
      </w:r>
      <w:r>
        <w:rPr>
          <w:rFonts w:ascii="Times New Roman" w:hAnsi="Times New Roman" w:cs="Times New Roman"/>
          <w:sz w:val="24"/>
          <w:szCs w:val="28"/>
        </w:rPr>
        <w:t>毕业生</w:t>
      </w:r>
      <w:r>
        <w:rPr>
          <w:rFonts w:hint="eastAsia" w:ascii="Times New Roman" w:hAnsi="Times New Roman" w:cs="Times New Roman"/>
          <w:sz w:val="24"/>
          <w:szCs w:val="28"/>
          <w:lang w:val="en-US" w:eastAsia="zh-CN"/>
        </w:rPr>
        <w:t>3</w:t>
      </w:r>
      <w:r>
        <w:rPr>
          <w:rFonts w:hint="default" w:ascii="Times New Roman" w:hAnsi="Times New Roman" w:cs="Times New Roman"/>
          <w:sz w:val="24"/>
          <w:szCs w:val="28"/>
          <w:lang w:eastAsia="zh-CN"/>
        </w:rPr>
        <w:t>65</w:t>
      </w:r>
      <w:r>
        <w:rPr>
          <w:rFonts w:ascii="Times New Roman" w:hAnsi="Times New Roman" w:cs="Times New Roman"/>
          <w:sz w:val="24"/>
          <w:szCs w:val="28"/>
        </w:rPr>
        <w:t>人，较上</w:t>
      </w:r>
      <w:r>
        <w:rPr>
          <w:rFonts w:hint="eastAsia" w:ascii="Times New Roman" w:hAnsi="Times New Roman" w:cs="Times New Roman"/>
          <w:sz w:val="24"/>
          <w:szCs w:val="28"/>
        </w:rPr>
        <w:t>学</w:t>
      </w:r>
      <w:r>
        <w:rPr>
          <w:rFonts w:ascii="Times New Roman" w:hAnsi="Times New Roman" w:cs="Times New Roman"/>
          <w:sz w:val="24"/>
          <w:szCs w:val="28"/>
        </w:rPr>
        <w:t>年</w:t>
      </w:r>
      <w:r>
        <w:rPr>
          <w:rFonts w:hint="eastAsia" w:ascii="Times New Roman" w:hAnsi="Times New Roman" w:cs="Times New Roman"/>
          <w:sz w:val="24"/>
          <w:szCs w:val="28"/>
          <w:lang w:val="en-US" w:eastAsia="zh-Hans"/>
        </w:rPr>
        <w:t>增加</w:t>
      </w:r>
      <w:r>
        <w:rPr>
          <w:rFonts w:hint="default" w:ascii="Times New Roman" w:hAnsi="Times New Roman" w:cs="Times New Roman"/>
          <w:sz w:val="24"/>
          <w:szCs w:val="28"/>
        </w:rPr>
        <w:t>87</w:t>
      </w:r>
      <w:r>
        <w:rPr>
          <w:rFonts w:ascii="Times New Roman" w:hAnsi="Times New Roman" w:cs="Times New Roman"/>
          <w:sz w:val="24"/>
          <w:szCs w:val="28"/>
        </w:rPr>
        <w:t>人，</w:t>
      </w:r>
      <w:r>
        <w:rPr>
          <w:rFonts w:hint="eastAsia" w:ascii="Times New Roman" w:hAnsi="Times New Roman" w:cs="Times New Roman"/>
          <w:sz w:val="24"/>
          <w:szCs w:val="28"/>
          <w:lang w:val="en-US" w:eastAsia="zh-Hans"/>
        </w:rPr>
        <w:t>增</w:t>
      </w:r>
      <w:r>
        <w:rPr>
          <w:rFonts w:ascii="Times New Roman" w:hAnsi="Times New Roman" w:cs="Times New Roman"/>
          <w:sz w:val="24"/>
          <w:szCs w:val="28"/>
        </w:rPr>
        <w:t>幅</w:t>
      </w:r>
      <w:r>
        <w:rPr>
          <w:rFonts w:hint="default" w:ascii="Times New Roman" w:hAnsi="Times New Roman" w:cs="Times New Roman"/>
          <w:sz w:val="24"/>
          <w:szCs w:val="28"/>
        </w:rPr>
        <w:t>31</w:t>
      </w:r>
      <w:r>
        <w:rPr>
          <w:rFonts w:hint="eastAsia" w:ascii="Times New Roman" w:hAnsi="Times New Roman" w:cs="Times New Roman"/>
          <w:sz w:val="24"/>
          <w:szCs w:val="28"/>
          <w:lang w:val="en-US" w:eastAsia="zh-Hans"/>
        </w:rPr>
        <w:t>.</w:t>
      </w:r>
      <w:r>
        <w:rPr>
          <w:rFonts w:hint="default" w:ascii="Times New Roman" w:hAnsi="Times New Roman" w:cs="Times New Roman"/>
          <w:sz w:val="24"/>
          <w:szCs w:val="28"/>
          <w:lang w:eastAsia="zh-Hans"/>
        </w:rPr>
        <w:t>29</w:t>
      </w:r>
      <w:r>
        <w:rPr>
          <w:rFonts w:ascii="Times New Roman" w:hAnsi="Times New Roman" w:cs="Times New Roman"/>
          <w:sz w:val="24"/>
          <w:szCs w:val="28"/>
        </w:rPr>
        <w:t>%</w:t>
      </w:r>
      <w:r>
        <w:rPr>
          <w:rFonts w:hint="eastAsia" w:ascii="Times New Roman" w:hAnsi="Times New Roman" w:cs="Times New Roman"/>
          <w:sz w:val="24"/>
          <w:szCs w:val="28"/>
        </w:rPr>
        <w:t>；</w:t>
      </w:r>
      <w:r>
        <w:rPr>
          <w:rFonts w:ascii="Times New Roman" w:hAnsi="Times New Roman" w:cs="Times New Roman"/>
          <w:sz w:val="24"/>
          <w:szCs w:val="28"/>
        </w:rPr>
        <w:t>招生人数</w:t>
      </w:r>
      <w:r>
        <w:rPr>
          <w:rFonts w:hint="eastAsia" w:ascii="Times New Roman" w:hAnsi="Times New Roman" w:cs="Times New Roman"/>
          <w:sz w:val="24"/>
          <w:szCs w:val="28"/>
          <w:lang w:val="en-US" w:eastAsia="zh-CN"/>
        </w:rPr>
        <w:t>630</w:t>
      </w:r>
      <w:r>
        <w:rPr>
          <w:rFonts w:ascii="Times New Roman" w:hAnsi="Times New Roman" w:cs="Times New Roman"/>
          <w:sz w:val="24"/>
          <w:szCs w:val="28"/>
        </w:rPr>
        <w:t>，</w:t>
      </w:r>
      <w:r>
        <w:rPr>
          <w:rFonts w:hint="eastAsia" w:ascii="Times New Roman" w:hAnsi="Times New Roman" w:cs="Times New Roman"/>
          <w:sz w:val="24"/>
          <w:szCs w:val="28"/>
        </w:rPr>
        <w:t>较上学</w:t>
      </w:r>
      <w:r>
        <w:rPr>
          <w:rFonts w:ascii="Times New Roman" w:hAnsi="Times New Roman" w:cs="Times New Roman"/>
          <w:sz w:val="24"/>
          <w:szCs w:val="28"/>
        </w:rPr>
        <w:t>年</w:t>
      </w:r>
      <w:r>
        <w:rPr>
          <w:rFonts w:hint="eastAsia" w:ascii="Times New Roman" w:hAnsi="Times New Roman" w:cs="Times New Roman"/>
          <w:sz w:val="24"/>
          <w:szCs w:val="28"/>
        </w:rPr>
        <w:t>增加</w:t>
      </w:r>
      <w:r>
        <w:rPr>
          <w:rFonts w:hint="eastAsia" w:ascii="Times New Roman" w:hAnsi="Times New Roman" w:cs="Times New Roman"/>
          <w:sz w:val="24"/>
          <w:szCs w:val="28"/>
          <w:lang w:val="en-US" w:eastAsia="zh-CN"/>
        </w:rPr>
        <w:t>78</w:t>
      </w:r>
      <w:r>
        <w:rPr>
          <w:rFonts w:hint="eastAsia" w:ascii="Times New Roman" w:hAnsi="Times New Roman" w:cs="Times New Roman"/>
          <w:sz w:val="24"/>
          <w:szCs w:val="28"/>
        </w:rPr>
        <w:t>人，增幅</w:t>
      </w:r>
      <w:r>
        <w:rPr>
          <w:rFonts w:hint="eastAsia" w:ascii="Times New Roman" w:hAnsi="Times New Roman" w:cs="Times New Roman"/>
          <w:sz w:val="24"/>
          <w:szCs w:val="28"/>
          <w:lang w:val="en-US" w:eastAsia="zh-CN"/>
        </w:rPr>
        <w:t>14.13</w:t>
      </w:r>
      <w:r>
        <w:rPr>
          <w:rFonts w:hint="eastAsia" w:ascii="Times New Roman" w:hAnsi="Times New Roman" w:cs="Times New Roman"/>
          <w:sz w:val="24"/>
          <w:szCs w:val="28"/>
        </w:rPr>
        <w:t>%</w:t>
      </w:r>
      <w:r>
        <w:rPr>
          <w:rFonts w:ascii="Times New Roman" w:hAnsi="Times New Roman" w:cs="Times New Roman"/>
          <w:sz w:val="24"/>
          <w:szCs w:val="28"/>
        </w:rPr>
        <w:t>。</w:t>
      </w:r>
      <w:r>
        <w:rPr>
          <w:rFonts w:hint="eastAsia" w:ascii="Times New Roman" w:hAnsi="Times New Roman" w:cs="Times New Roman"/>
          <w:sz w:val="24"/>
          <w:szCs w:val="28"/>
        </w:rPr>
        <w:t>近两学年</w:t>
      </w:r>
      <w:r>
        <w:rPr>
          <w:rFonts w:ascii="Times New Roman" w:hAnsi="Times New Roman" w:cs="Times New Roman"/>
          <w:sz w:val="24"/>
          <w:szCs w:val="28"/>
        </w:rPr>
        <w:t>在校生数、毕业生数</w:t>
      </w:r>
      <w:r>
        <w:rPr>
          <w:rFonts w:hint="eastAsia" w:ascii="Times New Roman" w:hAnsi="Times New Roman" w:cs="Times New Roman"/>
          <w:sz w:val="24"/>
          <w:szCs w:val="28"/>
        </w:rPr>
        <w:t>和</w:t>
      </w:r>
      <w:r>
        <w:rPr>
          <w:rFonts w:ascii="Times New Roman" w:hAnsi="Times New Roman" w:cs="Times New Roman"/>
          <w:sz w:val="24"/>
          <w:szCs w:val="28"/>
        </w:rPr>
        <w:t>招生数情况</w:t>
      </w:r>
      <w:r>
        <w:rPr>
          <w:rFonts w:hint="eastAsia" w:ascii="Times New Roman" w:hAnsi="Times New Roman" w:cs="Times New Roman"/>
          <w:sz w:val="24"/>
          <w:szCs w:val="28"/>
        </w:rPr>
        <w:t>统计</w:t>
      </w:r>
      <w:r>
        <w:rPr>
          <w:rFonts w:ascii="Times New Roman" w:hAnsi="Times New Roman" w:cs="Times New Roman"/>
          <w:sz w:val="24"/>
          <w:szCs w:val="28"/>
        </w:rPr>
        <w:t>见图1-2。</w:t>
      </w:r>
    </w:p>
    <w:p>
      <w:pPr>
        <w:pStyle w:val="34"/>
        <w:ind w:firstLine="560"/>
        <w:rPr>
          <w:rFonts w:ascii="Times New Roman" w:hAnsi="Times New Roman" w:cs="Times New Roman"/>
          <w:szCs w:val="28"/>
        </w:rPr>
      </w:pPr>
      <w:r>
        <w:rPr>
          <w:rFonts w:hint="eastAsia" w:ascii="Times New Roman" w:hAnsi="Times New Roman" w:cs="Times New Roman"/>
          <w:szCs w:val="28"/>
        </w:rPr>
        <w:drawing>
          <wp:inline distT="0" distB="0" distL="114300" distR="114300">
            <wp:extent cx="4479925" cy="2244090"/>
            <wp:effectExtent l="0" t="0" r="15875" b="3810"/>
            <wp:docPr id="28" name="图表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图1-2  学生规模统计</w:t>
      </w:r>
    </w:p>
    <w:p>
      <w:pPr>
        <w:pStyle w:val="34"/>
        <w:ind w:firstLine="562"/>
        <w:rPr>
          <w:rFonts w:ascii="Times New Roman" w:hAnsi="Times New Roman" w:cs="Times New Roman"/>
          <w:b/>
          <w:color w:val="000000"/>
        </w:rPr>
      </w:pPr>
      <w:r>
        <w:rPr>
          <w:rFonts w:ascii="Times New Roman" w:hAnsi="Times New Roman" w:cs="Times New Roman"/>
          <w:b/>
          <w:color w:val="000000"/>
        </w:rPr>
        <w:t>2.学生结构</w:t>
      </w:r>
    </w:p>
    <w:p>
      <w:pPr>
        <w:pStyle w:val="34"/>
        <w:spacing w:line="300" w:lineRule="auto"/>
        <w:ind w:firstLine="480"/>
        <w:rPr>
          <w:rFonts w:ascii="Times New Roman" w:hAnsi="Times New Roman" w:cs="Times New Roman"/>
          <w:sz w:val="24"/>
          <w:szCs w:val="28"/>
        </w:rPr>
      </w:pPr>
      <w:r>
        <w:rPr>
          <w:rFonts w:hint="eastAsia" w:ascii="Times New Roman" w:hAnsi="Times New Roman" w:cs="Times New Roman"/>
          <w:sz w:val="24"/>
          <w:szCs w:val="28"/>
          <w:lang w:val="en-US" w:eastAsia="zh-CN"/>
        </w:rPr>
        <w:t>2020-2021</w:t>
      </w:r>
      <w:r>
        <w:rPr>
          <w:rFonts w:ascii="Times New Roman" w:hAnsi="Times New Roman" w:cs="Times New Roman"/>
          <w:sz w:val="24"/>
          <w:szCs w:val="28"/>
        </w:rPr>
        <w:t>学年，</w:t>
      </w:r>
      <w:r>
        <w:rPr>
          <w:rFonts w:hint="eastAsia" w:ascii="Times New Roman" w:hAnsi="Times New Roman" w:cs="Times New Roman"/>
          <w:sz w:val="24"/>
          <w:szCs w:val="28"/>
          <w:lang w:val="en-US" w:eastAsia="zh-CN"/>
        </w:rPr>
        <w:t>学校</w:t>
      </w:r>
      <w:r>
        <w:rPr>
          <w:rFonts w:hint="eastAsia" w:ascii="Times New Roman" w:hAnsi="Times New Roman" w:cs="Times New Roman"/>
          <w:sz w:val="24"/>
          <w:szCs w:val="28"/>
        </w:rPr>
        <w:t>新增了化工仪表及自动化</w:t>
      </w:r>
      <w:r>
        <w:rPr>
          <w:rFonts w:hint="eastAsia" w:ascii="Times New Roman" w:hAnsi="Times New Roman" w:cs="Times New Roman"/>
          <w:sz w:val="24"/>
          <w:szCs w:val="28"/>
          <w:lang w:eastAsia="zh-CN"/>
        </w:rPr>
        <w:t>、环境监测技术</w:t>
      </w:r>
      <w:r>
        <w:rPr>
          <w:rFonts w:hint="eastAsia" w:ascii="Times New Roman" w:hAnsi="Times New Roman" w:cs="Times New Roman"/>
          <w:sz w:val="24"/>
          <w:szCs w:val="28"/>
        </w:rPr>
        <w:t>专业，现有</w:t>
      </w:r>
      <w:r>
        <w:rPr>
          <w:rFonts w:ascii="Times New Roman" w:hAnsi="Times New Roman" w:cs="Times New Roman"/>
          <w:sz w:val="24"/>
          <w:szCs w:val="28"/>
        </w:rPr>
        <w:t>专业数1</w:t>
      </w:r>
      <w:r>
        <w:rPr>
          <w:rFonts w:hint="eastAsia" w:ascii="Times New Roman" w:hAnsi="Times New Roman" w:cs="Times New Roman"/>
          <w:sz w:val="24"/>
          <w:szCs w:val="28"/>
          <w:lang w:val="en-US" w:eastAsia="zh-CN"/>
        </w:rPr>
        <w:t>2</w:t>
      </w:r>
      <w:r>
        <w:rPr>
          <w:rFonts w:ascii="Times New Roman" w:hAnsi="Times New Roman" w:cs="Times New Roman"/>
          <w:sz w:val="24"/>
          <w:szCs w:val="28"/>
        </w:rPr>
        <w:t>个</w:t>
      </w:r>
      <w:r>
        <w:rPr>
          <w:rFonts w:hint="eastAsia" w:ascii="Times New Roman" w:hAnsi="Times New Roman" w:cs="Times New Roman"/>
          <w:sz w:val="24"/>
          <w:szCs w:val="28"/>
        </w:rPr>
        <w:t>。在校生</w:t>
      </w:r>
      <w:r>
        <w:rPr>
          <w:rFonts w:hint="eastAsia" w:ascii="Times New Roman" w:hAnsi="Times New Roman" w:cs="Times New Roman"/>
          <w:sz w:val="24"/>
          <w:szCs w:val="28"/>
          <w:lang w:val="en-US" w:eastAsia="zh-CN"/>
        </w:rPr>
        <w:t>1463</w:t>
      </w:r>
      <w:r>
        <w:rPr>
          <w:rFonts w:hint="eastAsia" w:ascii="Times New Roman" w:hAnsi="Times New Roman" w:cs="Times New Roman"/>
          <w:sz w:val="24"/>
          <w:szCs w:val="28"/>
        </w:rPr>
        <w:t>人，其中护理、学前教育</w:t>
      </w:r>
      <w:r>
        <w:rPr>
          <w:rFonts w:hint="eastAsia" w:ascii="Times New Roman" w:hAnsi="Times New Roman" w:cs="Times New Roman"/>
          <w:sz w:val="24"/>
          <w:szCs w:val="28"/>
          <w:lang w:eastAsia="zh-CN"/>
        </w:rPr>
        <w:t>（</w:t>
      </w:r>
      <w:r>
        <w:rPr>
          <w:rFonts w:hint="eastAsia" w:ascii="Times New Roman" w:hAnsi="Times New Roman" w:cs="Times New Roman"/>
          <w:sz w:val="24"/>
          <w:szCs w:val="28"/>
          <w:lang w:val="en-US" w:eastAsia="zh-CN"/>
        </w:rPr>
        <w:t>幼儿保育</w:t>
      </w:r>
      <w:r>
        <w:rPr>
          <w:rFonts w:hint="eastAsia" w:ascii="Times New Roman" w:hAnsi="Times New Roman" w:cs="Times New Roman"/>
          <w:sz w:val="24"/>
          <w:szCs w:val="28"/>
          <w:lang w:eastAsia="zh-CN"/>
        </w:rPr>
        <w:t>）</w:t>
      </w:r>
      <w:r>
        <w:rPr>
          <w:rFonts w:hint="eastAsia" w:ascii="Times New Roman" w:hAnsi="Times New Roman" w:cs="Times New Roman"/>
          <w:sz w:val="24"/>
          <w:szCs w:val="28"/>
        </w:rPr>
        <w:t>、机电技术应用专业人数较多，分别占比</w:t>
      </w:r>
      <w:r>
        <w:rPr>
          <w:rFonts w:hint="eastAsia" w:ascii="Times New Roman" w:hAnsi="Times New Roman" w:cs="Times New Roman"/>
          <w:sz w:val="24"/>
          <w:szCs w:val="28"/>
          <w:lang w:val="en-US" w:eastAsia="zh-CN"/>
        </w:rPr>
        <w:t>27.68</w:t>
      </w:r>
      <w:r>
        <w:rPr>
          <w:rFonts w:hint="eastAsia" w:ascii="Times New Roman" w:hAnsi="Times New Roman" w:cs="Times New Roman"/>
          <w:sz w:val="24"/>
          <w:szCs w:val="28"/>
        </w:rPr>
        <w:t>%、</w:t>
      </w:r>
      <w:r>
        <w:rPr>
          <w:rFonts w:hint="eastAsia" w:ascii="Times New Roman" w:hAnsi="Times New Roman" w:cs="Times New Roman"/>
          <w:sz w:val="24"/>
          <w:szCs w:val="28"/>
          <w:lang w:val="en-US" w:eastAsia="zh-CN"/>
        </w:rPr>
        <w:t>15.86</w:t>
      </w:r>
      <w:r>
        <w:rPr>
          <w:rFonts w:hint="eastAsia" w:ascii="Times New Roman" w:hAnsi="Times New Roman" w:cs="Times New Roman"/>
          <w:sz w:val="24"/>
          <w:szCs w:val="28"/>
        </w:rPr>
        <w:t>%和</w:t>
      </w:r>
      <w:r>
        <w:rPr>
          <w:rFonts w:hint="eastAsia" w:ascii="Times New Roman" w:hAnsi="Times New Roman" w:cs="Times New Roman"/>
          <w:sz w:val="24"/>
          <w:szCs w:val="28"/>
          <w:lang w:val="en-US" w:eastAsia="zh-CN"/>
        </w:rPr>
        <w:t>13.06</w:t>
      </w:r>
      <w:r>
        <w:rPr>
          <w:rFonts w:hint="eastAsia" w:ascii="Times New Roman" w:hAnsi="Times New Roman" w:cs="Times New Roman"/>
          <w:sz w:val="24"/>
          <w:szCs w:val="28"/>
        </w:rPr>
        <w:t>%，合计占在校生人数的</w:t>
      </w:r>
      <w:r>
        <w:rPr>
          <w:rFonts w:hint="eastAsia" w:ascii="Times New Roman" w:hAnsi="Times New Roman" w:cs="Times New Roman"/>
          <w:sz w:val="24"/>
          <w:szCs w:val="28"/>
          <w:lang w:val="en-US" w:eastAsia="zh-CN"/>
        </w:rPr>
        <w:t>56.60</w:t>
      </w:r>
      <w:r>
        <w:rPr>
          <w:rFonts w:hint="eastAsia" w:ascii="Times New Roman" w:hAnsi="Times New Roman" w:cs="Times New Roman"/>
          <w:sz w:val="24"/>
          <w:szCs w:val="28"/>
        </w:rPr>
        <w:t>%。本学年分专业全日制在校生情况统计见表1-2</w:t>
      </w:r>
      <w:r>
        <w:rPr>
          <w:rFonts w:hint="eastAsia" w:ascii="Times New Roman" w:hAnsi="Times New Roman" w:cs="Times New Roman"/>
          <w:sz w:val="24"/>
          <w:szCs w:val="28"/>
          <w:lang w:eastAsia="zh-CN"/>
        </w:rPr>
        <w:t>。</w:t>
      </w:r>
    </w:p>
    <w:p>
      <w:pPr>
        <w:pStyle w:val="15"/>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rPr>
        <w:t xml:space="preserve">表1-2  </w:t>
      </w:r>
      <w:r>
        <w:rPr>
          <w:rFonts w:hint="eastAsia" w:ascii="Times New Roman" w:hAnsi="Times New Roman" w:cs="Times New Roman"/>
          <w:b/>
          <w:color w:val="000000"/>
          <w:kern w:val="2"/>
          <w:lang w:val="en-US" w:eastAsia="zh-CN"/>
        </w:rPr>
        <w:t>2020-2021</w:t>
      </w:r>
      <w:r>
        <w:rPr>
          <w:rFonts w:ascii="Times New Roman" w:hAnsi="Times New Roman" w:cs="Times New Roman"/>
          <w:b/>
          <w:color w:val="000000"/>
          <w:kern w:val="2"/>
        </w:rPr>
        <w:t>学年分专业在校生统计表</w:t>
      </w:r>
    </w:p>
    <w:tbl>
      <w:tblPr>
        <w:tblStyle w:val="17"/>
        <w:tblW w:w="499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5"/>
        <w:gridCol w:w="1991"/>
        <w:gridCol w:w="1112"/>
        <w:gridCol w:w="1054"/>
        <w:gridCol w:w="1216"/>
        <w:gridCol w:w="1216"/>
        <w:gridCol w:w="12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 w:type="pct"/>
            <w:shd w:val="clear" w:color="auto" w:fill="C7DAF1" w:themeFill="text2" w:themeFillTint="32"/>
            <w:noWrap w:val="0"/>
            <w:vAlign w:val="center"/>
          </w:tcPr>
          <w:p>
            <w:pPr>
              <w:widowControl/>
              <w:jc w:val="center"/>
              <w:rPr>
                <w:rFonts w:ascii="Times New Roman" w:hAnsi="Times New Roman" w:cs="宋体"/>
                <w:b/>
                <w:szCs w:val="21"/>
              </w:rPr>
            </w:pPr>
            <w:r>
              <w:rPr>
                <w:rFonts w:hint="eastAsia" w:ascii="Times New Roman" w:hAnsi="Times New Roman" w:cs="宋体"/>
                <w:b/>
                <w:szCs w:val="21"/>
              </w:rPr>
              <w:t>序号</w:t>
            </w:r>
          </w:p>
        </w:tc>
        <w:tc>
          <w:tcPr>
            <w:tcW w:w="1169" w:type="pct"/>
            <w:shd w:val="clear" w:color="auto" w:fill="C7DAF1" w:themeFill="text2" w:themeFillTint="32"/>
            <w:noWrap w:val="0"/>
            <w:vAlign w:val="center"/>
          </w:tcPr>
          <w:p>
            <w:pPr>
              <w:widowControl/>
              <w:jc w:val="center"/>
              <w:rPr>
                <w:rFonts w:ascii="Times New Roman" w:hAnsi="Times New Roman" w:cs="宋体"/>
                <w:b/>
                <w:szCs w:val="21"/>
              </w:rPr>
            </w:pPr>
            <w:r>
              <w:rPr>
                <w:rFonts w:hint="eastAsia" w:ascii="Times New Roman" w:hAnsi="Times New Roman" w:cs="宋体"/>
                <w:b/>
                <w:szCs w:val="21"/>
              </w:rPr>
              <w:t>专业</w:t>
            </w:r>
          </w:p>
        </w:tc>
        <w:tc>
          <w:tcPr>
            <w:tcW w:w="653" w:type="pct"/>
            <w:shd w:val="clear" w:color="auto" w:fill="C7DAF1" w:themeFill="text2" w:themeFillTint="32"/>
            <w:noWrap w:val="0"/>
            <w:vAlign w:val="center"/>
          </w:tcPr>
          <w:p>
            <w:pPr>
              <w:widowControl/>
              <w:jc w:val="center"/>
              <w:rPr>
                <w:rFonts w:ascii="Times New Roman" w:hAnsi="Times New Roman" w:cs="宋体"/>
                <w:b/>
                <w:szCs w:val="21"/>
              </w:rPr>
            </w:pPr>
            <w:r>
              <w:rPr>
                <w:rFonts w:hint="eastAsia" w:ascii="Times New Roman" w:hAnsi="Times New Roman" w:cs="宋体"/>
                <w:b/>
                <w:szCs w:val="21"/>
              </w:rPr>
              <w:t>一年级</w:t>
            </w:r>
          </w:p>
        </w:tc>
        <w:tc>
          <w:tcPr>
            <w:tcW w:w="619" w:type="pct"/>
            <w:shd w:val="clear" w:color="auto" w:fill="C7DAF1" w:themeFill="text2" w:themeFillTint="32"/>
            <w:noWrap w:val="0"/>
            <w:vAlign w:val="center"/>
          </w:tcPr>
          <w:p>
            <w:pPr>
              <w:widowControl/>
              <w:jc w:val="center"/>
              <w:rPr>
                <w:rFonts w:ascii="Times New Roman" w:hAnsi="Times New Roman" w:cs="宋体"/>
                <w:b/>
                <w:szCs w:val="21"/>
              </w:rPr>
            </w:pPr>
            <w:r>
              <w:rPr>
                <w:rFonts w:hint="eastAsia" w:ascii="Times New Roman" w:hAnsi="Times New Roman" w:cs="宋体"/>
                <w:b/>
                <w:szCs w:val="21"/>
              </w:rPr>
              <w:t>二年级</w:t>
            </w:r>
          </w:p>
        </w:tc>
        <w:tc>
          <w:tcPr>
            <w:tcW w:w="714" w:type="pct"/>
            <w:shd w:val="clear" w:color="auto" w:fill="C7DAF1" w:themeFill="text2" w:themeFillTint="32"/>
            <w:noWrap w:val="0"/>
            <w:vAlign w:val="center"/>
          </w:tcPr>
          <w:p>
            <w:pPr>
              <w:widowControl/>
              <w:jc w:val="center"/>
              <w:rPr>
                <w:rFonts w:ascii="Times New Roman" w:hAnsi="Times New Roman" w:cs="宋体"/>
                <w:b/>
                <w:szCs w:val="21"/>
              </w:rPr>
            </w:pPr>
            <w:r>
              <w:rPr>
                <w:rFonts w:hint="eastAsia" w:ascii="Times New Roman" w:hAnsi="Times New Roman" w:cs="宋体"/>
                <w:b/>
                <w:szCs w:val="21"/>
              </w:rPr>
              <w:t>三年级</w:t>
            </w:r>
          </w:p>
        </w:tc>
        <w:tc>
          <w:tcPr>
            <w:tcW w:w="714" w:type="pct"/>
            <w:shd w:val="clear" w:color="auto" w:fill="C7DAF1" w:themeFill="text2" w:themeFillTint="32"/>
            <w:noWrap w:val="0"/>
            <w:vAlign w:val="center"/>
          </w:tcPr>
          <w:p>
            <w:pPr>
              <w:widowControl/>
              <w:jc w:val="center"/>
              <w:rPr>
                <w:rFonts w:ascii="Times New Roman" w:hAnsi="Times New Roman" w:cs="宋体"/>
                <w:b/>
                <w:szCs w:val="21"/>
              </w:rPr>
            </w:pPr>
            <w:r>
              <w:rPr>
                <w:rFonts w:hint="eastAsia" w:ascii="Times New Roman" w:hAnsi="Times New Roman" w:cs="宋体"/>
                <w:b/>
                <w:szCs w:val="21"/>
              </w:rPr>
              <w:t>在校生数</w:t>
            </w:r>
          </w:p>
        </w:tc>
        <w:tc>
          <w:tcPr>
            <w:tcW w:w="715" w:type="pct"/>
            <w:shd w:val="clear" w:color="auto" w:fill="C7DAF1" w:themeFill="text2" w:themeFillTint="32"/>
            <w:noWrap w:val="0"/>
            <w:vAlign w:val="center"/>
          </w:tcPr>
          <w:p>
            <w:pPr>
              <w:widowControl/>
              <w:jc w:val="center"/>
              <w:rPr>
                <w:rFonts w:hint="eastAsia" w:ascii="Times New Roman" w:hAnsi="Times New Roman" w:eastAsia="宋体" w:cs="宋体"/>
                <w:b/>
                <w:szCs w:val="21"/>
                <w:lang w:eastAsia="zh-CN"/>
              </w:rPr>
            </w:pPr>
            <w:r>
              <w:rPr>
                <w:rFonts w:hint="eastAsia" w:ascii="Times New Roman" w:hAnsi="Times New Roman" w:cs="宋体"/>
                <w:b/>
                <w:szCs w:val="21"/>
                <w:lang w:val="en-US" w:eastAsia="zh-CN"/>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 w:type="pct"/>
            <w:noWrap w:val="0"/>
            <w:vAlign w:val="center"/>
          </w:tcPr>
          <w:p>
            <w:pPr>
              <w:widowControl/>
              <w:jc w:val="center"/>
              <w:rPr>
                <w:rFonts w:hint="eastAsia" w:ascii="宋体" w:hAnsi="宋体" w:cs="宋体"/>
                <w:b w:val="0"/>
                <w:bCs w:val="0"/>
                <w:color w:val="auto"/>
                <w:szCs w:val="21"/>
              </w:rPr>
            </w:pPr>
            <w:r>
              <w:rPr>
                <w:rFonts w:hint="eastAsia" w:ascii="宋体" w:hAnsi="宋体" w:cs="宋体"/>
                <w:b w:val="0"/>
                <w:bCs w:val="0"/>
                <w:color w:val="auto"/>
                <w:szCs w:val="21"/>
              </w:rPr>
              <w:t>1</w:t>
            </w:r>
          </w:p>
        </w:tc>
        <w:tc>
          <w:tcPr>
            <w:tcW w:w="1169" w:type="pct"/>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i w:val="0"/>
                <w:color w:val="auto"/>
                <w:kern w:val="0"/>
                <w:sz w:val="21"/>
                <w:szCs w:val="21"/>
                <w:u w:val="none"/>
                <w:lang w:val="en-US" w:eastAsia="zh-CN" w:bidi="ar"/>
              </w:rPr>
              <w:t>化学工艺</w:t>
            </w:r>
          </w:p>
        </w:tc>
        <w:tc>
          <w:tcPr>
            <w:tcW w:w="653"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0</w:t>
            </w:r>
          </w:p>
        </w:tc>
        <w:tc>
          <w:tcPr>
            <w:tcW w:w="619"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17</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28</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45</w:t>
            </w:r>
          </w:p>
        </w:tc>
        <w:tc>
          <w:tcPr>
            <w:tcW w:w="715" w:type="pct"/>
            <w:noWrap w:val="0"/>
            <w:vAlign w:val="center"/>
          </w:tcPr>
          <w:p>
            <w:pPr>
              <w:keepNext w:val="0"/>
              <w:keepLines w:val="0"/>
              <w:widowControl/>
              <w:suppressLineNumbers w:val="0"/>
              <w:jc w:val="center"/>
              <w:textAlignment w:val="center"/>
              <w:rPr>
                <w:rFonts w:ascii="Times New Roman" w:hAnsi="Times New Roman" w:cs="宋体"/>
                <w:szCs w:val="21"/>
              </w:rPr>
            </w:pPr>
            <w:r>
              <w:rPr>
                <w:rFonts w:hint="default" w:ascii="Times New Roman" w:hAnsi="Times New Roman" w:eastAsia="宋体" w:cs="Times New Roman"/>
                <w:i w:val="0"/>
                <w:iCs w:val="0"/>
                <w:color w:val="000000"/>
                <w:kern w:val="0"/>
                <w:sz w:val="21"/>
                <w:szCs w:val="21"/>
                <w:u w:val="none"/>
                <w:lang w:val="en-US" w:eastAsia="zh-CN" w:bidi="ar"/>
              </w:rPr>
              <w:t>3.08%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 w:type="pct"/>
            <w:noWrap w:val="0"/>
            <w:vAlign w:val="center"/>
          </w:tcPr>
          <w:p>
            <w:pPr>
              <w:widowControl/>
              <w:jc w:val="center"/>
              <w:rPr>
                <w:rFonts w:hint="eastAsia" w:ascii="宋体" w:hAnsi="宋体" w:cs="宋体"/>
                <w:b w:val="0"/>
                <w:bCs w:val="0"/>
                <w:color w:val="auto"/>
                <w:szCs w:val="21"/>
              </w:rPr>
            </w:pPr>
            <w:r>
              <w:rPr>
                <w:rFonts w:hint="eastAsia" w:ascii="宋体" w:hAnsi="宋体" w:cs="宋体"/>
                <w:b w:val="0"/>
                <w:bCs w:val="0"/>
                <w:color w:val="auto"/>
                <w:szCs w:val="21"/>
              </w:rPr>
              <w:t>2</w:t>
            </w:r>
          </w:p>
        </w:tc>
        <w:tc>
          <w:tcPr>
            <w:tcW w:w="1169" w:type="pct"/>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i w:val="0"/>
                <w:color w:val="auto"/>
                <w:kern w:val="0"/>
                <w:sz w:val="21"/>
                <w:szCs w:val="21"/>
                <w:u w:val="none"/>
                <w:lang w:val="en-US" w:eastAsia="zh-CN" w:bidi="ar"/>
              </w:rPr>
              <w:t>化工机械与设备</w:t>
            </w:r>
          </w:p>
        </w:tc>
        <w:tc>
          <w:tcPr>
            <w:tcW w:w="653"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0</w:t>
            </w:r>
          </w:p>
        </w:tc>
        <w:tc>
          <w:tcPr>
            <w:tcW w:w="619"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14</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0</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14</w:t>
            </w:r>
          </w:p>
        </w:tc>
        <w:tc>
          <w:tcPr>
            <w:tcW w:w="715" w:type="pct"/>
            <w:noWrap w:val="0"/>
            <w:vAlign w:val="center"/>
          </w:tcPr>
          <w:p>
            <w:pPr>
              <w:keepNext w:val="0"/>
              <w:keepLines w:val="0"/>
              <w:widowControl/>
              <w:suppressLineNumbers w:val="0"/>
              <w:jc w:val="center"/>
              <w:textAlignment w:val="center"/>
              <w:rPr>
                <w:rFonts w:ascii="Times New Roman" w:hAnsi="Times New Roman" w:cs="宋体"/>
                <w:szCs w:val="21"/>
              </w:rPr>
            </w:pPr>
            <w:r>
              <w:rPr>
                <w:rFonts w:hint="default" w:ascii="Times New Roman" w:hAnsi="Times New Roman" w:eastAsia="宋体" w:cs="Times New Roman"/>
                <w:i w:val="0"/>
                <w:iCs w:val="0"/>
                <w:color w:val="000000"/>
                <w:kern w:val="0"/>
                <w:sz w:val="21"/>
                <w:szCs w:val="21"/>
                <w:u w:val="none"/>
                <w:lang w:val="en-US" w:eastAsia="zh-CN" w:bidi="ar"/>
              </w:rPr>
              <w:t>0.96%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 w:type="pct"/>
            <w:noWrap w:val="0"/>
            <w:vAlign w:val="center"/>
          </w:tcPr>
          <w:p>
            <w:pPr>
              <w:widowControl/>
              <w:jc w:val="center"/>
              <w:rPr>
                <w:rFonts w:hint="eastAsia" w:ascii="宋体" w:hAnsi="宋体" w:cs="宋体"/>
                <w:b w:val="0"/>
                <w:bCs w:val="0"/>
                <w:color w:val="auto"/>
                <w:szCs w:val="21"/>
              </w:rPr>
            </w:pPr>
            <w:r>
              <w:rPr>
                <w:rFonts w:hint="eastAsia" w:ascii="宋体" w:hAnsi="宋体" w:cs="宋体"/>
                <w:b w:val="0"/>
                <w:bCs w:val="0"/>
                <w:color w:val="auto"/>
                <w:szCs w:val="21"/>
              </w:rPr>
              <w:t>3</w:t>
            </w:r>
          </w:p>
        </w:tc>
        <w:tc>
          <w:tcPr>
            <w:tcW w:w="1169" w:type="pct"/>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i w:val="0"/>
                <w:color w:val="auto"/>
                <w:kern w:val="0"/>
                <w:sz w:val="21"/>
                <w:szCs w:val="21"/>
                <w:u w:val="none"/>
                <w:lang w:val="en-US" w:eastAsia="zh-CN" w:bidi="ar"/>
              </w:rPr>
              <w:t>工业分析与检验</w:t>
            </w:r>
          </w:p>
        </w:tc>
        <w:tc>
          <w:tcPr>
            <w:tcW w:w="653"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19</w:t>
            </w:r>
          </w:p>
        </w:tc>
        <w:tc>
          <w:tcPr>
            <w:tcW w:w="619"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29</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0</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48</w:t>
            </w:r>
          </w:p>
        </w:tc>
        <w:tc>
          <w:tcPr>
            <w:tcW w:w="715" w:type="pct"/>
            <w:noWrap w:val="0"/>
            <w:vAlign w:val="center"/>
          </w:tcPr>
          <w:p>
            <w:pPr>
              <w:keepNext w:val="0"/>
              <w:keepLines w:val="0"/>
              <w:widowControl/>
              <w:suppressLineNumbers w:val="0"/>
              <w:jc w:val="center"/>
              <w:textAlignment w:val="center"/>
              <w:rPr>
                <w:rFonts w:ascii="Times New Roman" w:hAnsi="Times New Roman" w:cs="宋体"/>
                <w:szCs w:val="21"/>
              </w:rPr>
            </w:pPr>
            <w:r>
              <w:rPr>
                <w:rFonts w:hint="default" w:ascii="Times New Roman" w:hAnsi="Times New Roman" w:eastAsia="宋体" w:cs="Times New Roman"/>
                <w:i w:val="0"/>
                <w:iCs w:val="0"/>
                <w:color w:val="000000"/>
                <w:kern w:val="0"/>
                <w:sz w:val="21"/>
                <w:szCs w:val="21"/>
                <w:u w:val="none"/>
                <w:lang w:val="en-US" w:eastAsia="zh-CN" w:bidi="ar"/>
              </w:rPr>
              <w:t>3.28%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 w:type="pct"/>
            <w:noWrap w:val="0"/>
            <w:vAlign w:val="center"/>
          </w:tcPr>
          <w:p>
            <w:pPr>
              <w:widowControl/>
              <w:jc w:val="center"/>
              <w:rPr>
                <w:rFonts w:hint="eastAsia" w:ascii="宋体" w:hAnsi="宋体" w:cs="宋体"/>
                <w:b w:val="0"/>
                <w:bCs w:val="0"/>
                <w:color w:val="auto"/>
                <w:szCs w:val="21"/>
              </w:rPr>
            </w:pPr>
            <w:r>
              <w:rPr>
                <w:rFonts w:hint="eastAsia" w:ascii="宋体" w:hAnsi="宋体" w:cs="宋体"/>
                <w:b w:val="0"/>
                <w:bCs w:val="0"/>
                <w:color w:val="auto"/>
                <w:szCs w:val="21"/>
              </w:rPr>
              <w:t>4</w:t>
            </w:r>
          </w:p>
        </w:tc>
        <w:tc>
          <w:tcPr>
            <w:tcW w:w="1169" w:type="pct"/>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i w:val="0"/>
                <w:color w:val="auto"/>
                <w:kern w:val="0"/>
                <w:sz w:val="21"/>
                <w:szCs w:val="21"/>
                <w:u w:val="none"/>
                <w:lang w:val="en-US" w:eastAsia="zh-CN" w:bidi="ar"/>
              </w:rPr>
              <w:t>化工仪表</w:t>
            </w:r>
            <w:r>
              <w:rPr>
                <w:rFonts w:hint="eastAsia" w:ascii="宋体" w:hAnsi="宋体" w:cs="宋体"/>
                <w:b w:val="0"/>
                <w:bCs w:val="0"/>
                <w:i w:val="0"/>
                <w:color w:val="auto"/>
                <w:kern w:val="0"/>
                <w:sz w:val="21"/>
                <w:szCs w:val="21"/>
                <w:u w:val="none"/>
                <w:lang w:val="en-US" w:eastAsia="zh-CN" w:bidi="ar"/>
              </w:rPr>
              <w:t>及</w:t>
            </w:r>
            <w:r>
              <w:rPr>
                <w:rFonts w:hint="eastAsia" w:ascii="宋体" w:hAnsi="宋体" w:eastAsia="宋体" w:cs="宋体"/>
                <w:b w:val="0"/>
                <w:bCs w:val="0"/>
                <w:i w:val="0"/>
                <w:color w:val="auto"/>
                <w:kern w:val="0"/>
                <w:sz w:val="21"/>
                <w:szCs w:val="21"/>
                <w:u w:val="none"/>
                <w:lang w:val="en-US" w:eastAsia="zh-CN" w:bidi="ar"/>
              </w:rPr>
              <w:t>自动化</w:t>
            </w:r>
          </w:p>
        </w:tc>
        <w:tc>
          <w:tcPr>
            <w:tcW w:w="653"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22</w:t>
            </w:r>
          </w:p>
        </w:tc>
        <w:tc>
          <w:tcPr>
            <w:tcW w:w="619"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0</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0</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22</w:t>
            </w:r>
          </w:p>
        </w:tc>
        <w:tc>
          <w:tcPr>
            <w:tcW w:w="715" w:type="pct"/>
            <w:noWrap w:val="0"/>
            <w:vAlign w:val="center"/>
          </w:tcPr>
          <w:p>
            <w:pPr>
              <w:keepNext w:val="0"/>
              <w:keepLines w:val="0"/>
              <w:widowControl/>
              <w:suppressLineNumbers w:val="0"/>
              <w:jc w:val="center"/>
              <w:textAlignment w:val="center"/>
              <w:rPr>
                <w:rFonts w:ascii="Times New Roman" w:hAnsi="Times New Roman" w:cs="宋体"/>
                <w:szCs w:val="21"/>
              </w:rPr>
            </w:pPr>
            <w:r>
              <w:rPr>
                <w:rFonts w:hint="default" w:ascii="Times New Roman" w:hAnsi="Times New Roman" w:eastAsia="宋体" w:cs="Times New Roman"/>
                <w:i w:val="0"/>
                <w:iCs w:val="0"/>
                <w:color w:val="000000"/>
                <w:kern w:val="0"/>
                <w:sz w:val="21"/>
                <w:szCs w:val="21"/>
                <w:u w:val="none"/>
                <w:lang w:val="en-US" w:eastAsia="zh-CN" w:bidi="ar"/>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 w:type="pct"/>
            <w:noWrap w:val="0"/>
            <w:vAlign w:val="center"/>
          </w:tcPr>
          <w:p>
            <w:pPr>
              <w:widowControl/>
              <w:jc w:val="center"/>
              <w:rPr>
                <w:rFonts w:hint="eastAsia" w:ascii="宋体" w:hAnsi="宋体" w:eastAsia="宋体" w:cs="宋体"/>
                <w:b w:val="0"/>
                <w:bCs w:val="0"/>
                <w:color w:val="auto"/>
                <w:szCs w:val="21"/>
                <w:lang w:val="en-US" w:eastAsia="zh-CN"/>
              </w:rPr>
            </w:pPr>
            <w:r>
              <w:rPr>
                <w:rFonts w:hint="eastAsia" w:ascii="宋体" w:hAnsi="宋体" w:cs="宋体"/>
                <w:b w:val="0"/>
                <w:bCs w:val="0"/>
                <w:color w:val="auto"/>
                <w:szCs w:val="21"/>
                <w:lang w:val="en-US" w:eastAsia="zh-CN"/>
              </w:rPr>
              <w:t>5</w:t>
            </w:r>
          </w:p>
        </w:tc>
        <w:tc>
          <w:tcPr>
            <w:tcW w:w="1169" w:type="pct"/>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1"/>
                <w:szCs w:val="21"/>
                <w:lang w:val="en-US" w:eastAsia="zh-CN" w:bidi="ar-SA"/>
              </w:rPr>
            </w:pPr>
            <w:r>
              <w:rPr>
                <w:rFonts w:hint="eastAsia" w:ascii="宋体" w:hAnsi="宋体" w:cs="宋体"/>
                <w:color w:val="auto"/>
                <w:kern w:val="0"/>
                <w:szCs w:val="21"/>
                <w:u w:val="none"/>
                <w:lang w:bidi="ar"/>
              </w:rPr>
              <w:t>环境监测技术</w:t>
            </w:r>
          </w:p>
        </w:tc>
        <w:tc>
          <w:tcPr>
            <w:tcW w:w="653"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33</w:t>
            </w:r>
          </w:p>
        </w:tc>
        <w:tc>
          <w:tcPr>
            <w:tcW w:w="619"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0</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0</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33</w:t>
            </w:r>
          </w:p>
        </w:tc>
        <w:tc>
          <w:tcPr>
            <w:tcW w:w="715" w:type="pct"/>
            <w:noWrap w:val="0"/>
            <w:vAlign w:val="center"/>
          </w:tcPr>
          <w:p>
            <w:pPr>
              <w:keepNext w:val="0"/>
              <w:keepLines w:val="0"/>
              <w:widowControl/>
              <w:suppressLineNumbers w:val="0"/>
              <w:jc w:val="center"/>
              <w:textAlignment w:val="center"/>
              <w:rPr>
                <w:rFonts w:ascii="Times New Roman" w:hAnsi="Times New Roman" w:cs="宋体"/>
                <w:szCs w:val="21"/>
              </w:rPr>
            </w:pPr>
            <w:r>
              <w:rPr>
                <w:rFonts w:hint="default" w:ascii="Times New Roman" w:hAnsi="Times New Roman" w:eastAsia="宋体" w:cs="Times New Roman"/>
                <w:i w:val="0"/>
                <w:iCs w:val="0"/>
                <w:color w:val="000000"/>
                <w:kern w:val="0"/>
                <w:sz w:val="21"/>
                <w:szCs w:val="21"/>
                <w:u w:val="none"/>
                <w:lang w:val="en-US" w:eastAsia="zh-CN" w:bidi="ar"/>
              </w:rPr>
              <w:t>2.26%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 w:type="pct"/>
            <w:noWrap w:val="0"/>
            <w:vAlign w:val="center"/>
          </w:tcPr>
          <w:p>
            <w:pPr>
              <w:widowControl/>
              <w:jc w:val="center"/>
              <w:rPr>
                <w:rFonts w:hint="eastAsia" w:ascii="宋体" w:hAnsi="宋体" w:eastAsia="宋体" w:cs="宋体"/>
                <w:b w:val="0"/>
                <w:bCs w:val="0"/>
                <w:color w:val="auto"/>
                <w:szCs w:val="21"/>
                <w:lang w:val="en-US" w:eastAsia="zh-CN"/>
              </w:rPr>
            </w:pPr>
            <w:r>
              <w:rPr>
                <w:rFonts w:hint="eastAsia" w:ascii="宋体" w:hAnsi="宋体" w:cs="宋体"/>
                <w:b w:val="0"/>
                <w:bCs w:val="0"/>
                <w:color w:val="auto"/>
                <w:szCs w:val="21"/>
                <w:lang w:val="en-US" w:eastAsia="zh-CN"/>
              </w:rPr>
              <w:t>6</w:t>
            </w:r>
          </w:p>
        </w:tc>
        <w:tc>
          <w:tcPr>
            <w:tcW w:w="1169" w:type="pct"/>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i w:val="0"/>
                <w:color w:val="auto"/>
                <w:kern w:val="0"/>
                <w:sz w:val="21"/>
                <w:szCs w:val="21"/>
                <w:u w:val="none"/>
                <w:lang w:val="en-US" w:eastAsia="zh-CN" w:bidi="ar"/>
              </w:rPr>
              <w:t>机电技术应用</w:t>
            </w:r>
          </w:p>
        </w:tc>
        <w:tc>
          <w:tcPr>
            <w:tcW w:w="653"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80</w:t>
            </w:r>
          </w:p>
        </w:tc>
        <w:tc>
          <w:tcPr>
            <w:tcW w:w="619"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72</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39</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191</w:t>
            </w:r>
          </w:p>
        </w:tc>
        <w:tc>
          <w:tcPr>
            <w:tcW w:w="715" w:type="pct"/>
            <w:noWrap w:val="0"/>
            <w:vAlign w:val="center"/>
          </w:tcPr>
          <w:p>
            <w:pPr>
              <w:keepNext w:val="0"/>
              <w:keepLines w:val="0"/>
              <w:widowControl/>
              <w:suppressLineNumbers w:val="0"/>
              <w:jc w:val="center"/>
              <w:textAlignment w:val="center"/>
              <w:rPr>
                <w:rFonts w:ascii="Times New Roman" w:hAnsi="Times New Roman" w:cs="宋体"/>
                <w:szCs w:val="21"/>
              </w:rPr>
            </w:pPr>
            <w:r>
              <w:rPr>
                <w:rFonts w:hint="default" w:ascii="Times New Roman" w:hAnsi="Times New Roman" w:eastAsia="宋体" w:cs="Times New Roman"/>
                <w:i w:val="0"/>
                <w:iCs w:val="0"/>
                <w:color w:val="000000"/>
                <w:kern w:val="0"/>
                <w:sz w:val="21"/>
                <w:szCs w:val="21"/>
                <w:u w:val="none"/>
                <w:lang w:val="en-US" w:eastAsia="zh-CN" w:bidi="ar"/>
              </w:rPr>
              <w:t>13.06%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 w:type="pct"/>
            <w:noWrap w:val="0"/>
            <w:vAlign w:val="center"/>
          </w:tcPr>
          <w:p>
            <w:pPr>
              <w:widowControl/>
              <w:jc w:val="center"/>
              <w:rPr>
                <w:rFonts w:hint="eastAsia" w:ascii="宋体" w:hAnsi="宋体" w:eastAsia="宋体" w:cs="宋体"/>
                <w:b w:val="0"/>
                <w:bCs w:val="0"/>
                <w:color w:val="auto"/>
                <w:szCs w:val="21"/>
                <w:lang w:val="en-US" w:eastAsia="zh-CN"/>
              </w:rPr>
            </w:pPr>
            <w:r>
              <w:rPr>
                <w:rFonts w:hint="eastAsia" w:ascii="宋体" w:hAnsi="宋体" w:cs="宋体"/>
                <w:b w:val="0"/>
                <w:bCs w:val="0"/>
                <w:color w:val="auto"/>
                <w:szCs w:val="21"/>
                <w:lang w:val="en-US" w:eastAsia="zh-CN"/>
              </w:rPr>
              <w:t>7</w:t>
            </w:r>
          </w:p>
        </w:tc>
        <w:tc>
          <w:tcPr>
            <w:tcW w:w="1169" w:type="pct"/>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i w:val="0"/>
                <w:color w:val="auto"/>
                <w:kern w:val="0"/>
                <w:sz w:val="21"/>
                <w:szCs w:val="21"/>
                <w:u w:val="none"/>
                <w:lang w:val="en-US" w:eastAsia="zh-CN" w:bidi="ar"/>
              </w:rPr>
              <w:t>电气运行与控制</w:t>
            </w:r>
          </w:p>
        </w:tc>
        <w:tc>
          <w:tcPr>
            <w:tcW w:w="653"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81</w:t>
            </w:r>
          </w:p>
        </w:tc>
        <w:tc>
          <w:tcPr>
            <w:tcW w:w="619"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46</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58</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185</w:t>
            </w:r>
          </w:p>
        </w:tc>
        <w:tc>
          <w:tcPr>
            <w:tcW w:w="715" w:type="pct"/>
            <w:noWrap w:val="0"/>
            <w:vAlign w:val="center"/>
          </w:tcPr>
          <w:p>
            <w:pPr>
              <w:keepNext w:val="0"/>
              <w:keepLines w:val="0"/>
              <w:widowControl/>
              <w:suppressLineNumbers w:val="0"/>
              <w:jc w:val="center"/>
              <w:textAlignment w:val="center"/>
              <w:rPr>
                <w:rFonts w:ascii="Times New Roman" w:hAnsi="Times New Roman" w:cs="宋体"/>
                <w:szCs w:val="21"/>
              </w:rPr>
            </w:pPr>
            <w:r>
              <w:rPr>
                <w:rFonts w:hint="default" w:ascii="Times New Roman" w:hAnsi="Times New Roman" w:eastAsia="宋体" w:cs="Times New Roman"/>
                <w:i w:val="0"/>
                <w:iCs w:val="0"/>
                <w:color w:val="000000"/>
                <w:kern w:val="0"/>
                <w:sz w:val="21"/>
                <w:szCs w:val="21"/>
                <w:u w:val="none"/>
                <w:lang w:val="en-US" w:eastAsia="zh-CN" w:bidi="ar"/>
              </w:rPr>
              <w:t>12.65%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 w:type="pct"/>
            <w:noWrap w:val="0"/>
            <w:vAlign w:val="center"/>
          </w:tcPr>
          <w:p>
            <w:pPr>
              <w:widowControl/>
              <w:jc w:val="center"/>
              <w:rPr>
                <w:rFonts w:hint="eastAsia" w:ascii="宋体" w:hAnsi="宋体" w:eastAsia="宋体" w:cs="宋体"/>
                <w:b w:val="0"/>
                <w:bCs w:val="0"/>
                <w:color w:val="auto"/>
                <w:szCs w:val="21"/>
                <w:lang w:val="en-US" w:eastAsia="zh-CN"/>
              </w:rPr>
            </w:pPr>
            <w:r>
              <w:rPr>
                <w:rFonts w:hint="eastAsia" w:ascii="宋体" w:hAnsi="宋体" w:cs="宋体"/>
                <w:b w:val="0"/>
                <w:bCs w:val="0"/>
                <w:color w:val="auto"/>
                <w:szCs w:val="21"/>
                <w:lang w:val="en-US" w:eastAsia="zh-CN"/>
              </w:rPr>
              <w:t>8</w:t>
            </w:r>
          </w:p>
        </w:tc>
        <w:tc>
          <w:tcPr>
            <w:tcW w:w="1169" w:type="pct"/>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i w:val="0"/>
                <w:color w:val="auto"/>
                <w:kern w:val="0"/>
                <w:sz w:val="21"/>
                <w:szCs w:val="21"/>
                <w:u w:val="none"/>
                <w:lang w:val="en-US" w:eastAsia="zh-CN" w:bidi="ar"/>
              </w:rPr>
              <w:t>汽车运用与维修班</w:t>
            </w:r>
          </w:p>
        </w:tc>
        <w:tc>
          <w:tcPr>
            <w:tcW w:w="653"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41</w:t>
            </w:r>
          </w:p>
        </w:tc>
        <w:tc>
          <w:tcPr>
            <w:tcW w:w="619"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30</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27</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98</w:t>
            </w:r>
          </w:p>
        </w:tc>
        <w:tc>
          <w:tcPr>
            <w:tcW w:w="715" w:type="pct"/>
            <w:noWrap w:val="0"/>
            <w:vAlign w:val="center"/>
          </w:tcPr>
          <w:p>
            <w:pPr>
              <w:keepNext w:val="0"/>
              <w:keepLines w:val="0"/>
              <w:widowControl/>
              <w:suppressLineNumbers w:val="0"/>
              <w:jc w:val="center"/>
              <w:textAlignment w:val="center"/>
              <w:rPr>
                <w:rFonts w:ascii="Times New Roman" w:hAnsi="Times New Roman" w:cs="宋体"/>
                <w:szCs w:val="21"/>
              </w:rPr>
            </w:pPr>
            <w:r>
              <w:rPr>
                <w:rFonts w:hint="default" w:ascii="Times New Roman" w:hAnsi="Times New Roman" w:eastAsia="宋体" w:cs="Times New Roman"/>
                <w:i w:val="0"/>
                <w:iCs w:val="0"/>
                <w:color w:val="000000"/>
                <w:kern w:val="0"/>
                <w:sz w:val="21"/>
                <w:szCs w:val="21"/>
                <w:u w:val="none"/>
                <w:lang w:val="en-US" w:eastAsia="zh-CN" w:bidi="ar"/>
              </w:rPr>
              <w:t>6.70%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 w:type="pct"/>
            <w:noWrap w:val="0"/>
            <w:vAlign w:val="center"/>
          </w:tcPr>
          <w:p>
            <w:pPr>
              <w:widowControl/>
              <w:jc w:val="center"/>
              <w:rPr>
                <w:rFonts w:hint="eastAsia" w:ascii="宋体" w:hAnsi="宋体" w:eastAsia="宋体" w:cs="宋体"/>
                <w:b w:val="0"/>
                <w:bCs w:val="0"/>
                <w:color w:val="auto"/>
                <w:szCs w:val="21"/>
                <w:lang w:val="en-US" w:eastAsia="zh-CN"/>
              </w:rPr>
            </w:pPr>
            <w:r>
              <w:rPr>
                <w:rFonts w:hint="eastAsia" w:ascii="宋体" w:hAnsi="宋体" w:cs="宋体"/>
                <w:b w:val="0"/>
                <w:bCs w:val="0"/>
                <w:color w:val="auto"/>
                <w:szCs w:val="21"/>
                <w:lang w:val="en-US" w:eastAsia="zh-CN"/>
              </w:rPr>
              <w:t>9</w:t>
            </w:r>
          </w:p>
        </w:tc>
        <w:tc>
          <w:tcPr>
            <w:tcW w:w="1169" w:type="pct"/>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i w:val="0"/>
                <w:color w:val="auto"/>
                <w:kern w:val="0"/>
                <w:sz w:val="21"/>
                <w:szCs w:val="21"/>
                <w:u w:val="none"/>
                <w:lang w:val="en-US" w:eastAsia="zh-CN" w:bidi="ar"/>
              </w:rPr>
              <w:t>护理</w:t>
            </w:r>
          </w:p>
        </w:tc>
        <w:tc>
          <w:tcPr>
            <w:tcW w:w="653"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134</w:t>
            </w:r>
          </w:p>
        </w:tc>
        <w:tc>
          <w:tcPr>
            <w:tcW w:w="619"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154</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117</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405</w:t>
            </w:r>
          </w:p>
        </w:tc>
        <w:tc>
          <w:tcPr>
            <w:tcW w:w="715" w:type="pct"/>
            <w:noWrap w:val="0"/>
            <w:vAlign w:val="center"/>
          </w:tcPr>
          <w:p>
            <w:pPr>
              <w:keepNext w:val="0"/>
              <w:keepLines w:val="0"/>
              <w:widowControl/>
              <w:suppressLineNumbers w:val="0"/>
              <w:jc w:val="center"/>
              <w:textAlignment w:val="center"/>
              <w:rPr>
                <w:rFonts w:ascii="Times New Roman" w:hAnsi="Times New Roman" w:cs="宋体"/>
                <w:szCs w:val="21"/>
              </w:rPr>
            </w:pPr>
            <w:r>
              <w:rPr>
                <w:rFonts w:hint="default" w:ascii="Times New Roman" w:hAnsi="Times New Roman" w:eastAsia="宋体" w:cs="Times New Roman"/>
                <w:i w:val="0"/>
                <w:iCs w:val="0"/>
                <w:color w:val="000000"/>
                <w:kern w:val="0"/>
                <w:sz w:val="21"/>
                <w:szCs w:val="21"/>
                <w:u w:val="none"/>
                <w:lang w:val="en-US" w:eastAsia="zh-CN" w:bidi="ar"/>
              </w:rPr>
              <w:t>27.68%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 w:type="pct"/>
            <w:noWrap w:val="0"/>
            <w:vAlign w:val="center"/>
          </w:tcPr>
          <w:p>
            <w:pPr>
              <w:widowControl/>
              <w:jc w:val="center"/>
              <w:rPr>
                <w:rFonts w:hint="eastAsia" w:ascii="宋体" w:hAnsi="宋体" w:eastAsia="宋体" w:cs="宋体"/>
                <w:b w:val="0"/>
                <w:bCs w:val="0"/>
                <w:color w:val="auto"/>
                <w:szCs w:val="21"/>
                <w:lang w:val="en-US" w:eastAsia="zh-CN"/>
              </w:rPr>
            </w:pPr>
            <w:r>
              <w:rPr>
                <w:rFonts w:hint="eastAsia" w:ascii="宋体" w:hAnsi="宋体" w:cs="宋体"/>
                <w:b w:val="0"/>
                <w:bCs w:val="0"/>
                <w:color w:val="auto"/>
                <w:szCs w:val="21"/>
                <w:lang w:val="en-US" w:eastAsia="zh-CN"/>
              </w:rPr>
              <w:t>10</w:t>
            </w:r>
          </w:p>
        </w:tc>
        <w:tc>
          <w:tcPr>
            <w:tcW w:w="1169" w:type="pct"/>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i w:val="0"/>
                <w:color w:val="auto"/>
                <w:kern w:val="0"/>
                <w:sz w:val="21"/>
                <w:szCs w:val="21"/>
                <w:u w:val="none"/>
                <w:lang w:val="en-US" w:eastAsia="zh-CN" w:bidi="ar"/>
              </w:rPr>
              <w:t>计算机网络技术</w:t>
            </w:r>
          </w:p>
        </w:tc>
        <w:tc>
          <w:tcPr>
            <w:tcW w:w="653"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72</w:t>
            </w:r>
          </w:p>
        </w:tc>
        <w:tc>
          <w:tcPr>
            <w:tcW w:w="619"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73</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45</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190</w:t>
            </w:r>
          </w:p>
        </w:tc>
        <w:tc>
          <w:tcPr>
            <w:tcW w:w="715" w:type="pct"/>
            <w:noWrap w:val="0"/>
            <w:vAlign w:val="center"/>
          </w:tcPr>
          <w:p>
            <w:pPr>
              <w:keepNext w:val="0"/>
              <w:keepLines w:val="0"/>
              <w:widowControl/>
              <w:suppressLineNumbers w:val="0"/>
              <w:jc w:val="center"/>
              <w:textAlignment w:val="center"/>
              <w:rPr>
                <w:rFonts w:ascii="Times New Roman" w:hAnsi="Times New Roman" w:cs="宋体"/>
                <w:szCs w:val="21"/>
              </w:rPr>
            </w:pPr>
            <w:r>
              <w:rPr>
                <w:rFonts w:hint="default" w:ascii="Times New Roman" w:hAnsi="Times New Roman" w:eastAsia="宋体" w:cs="Times New Roman"/>
                <w:i w:val="0"/>
                <w:iCs w:val="0"/>
                <w:color w:val="000000"/>
                <w:kern w:val="0"/>
                <w:sz w:val="21"/>
                <w:szCs w:val="21"/>
                <w:u w:val="none"/>
                <w:lang w:val="en-US" w:eastAsia="zh-CN" w:bidi="ar"/>
              </w:rPr>
              <w:t>12.99%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 w:type="pct"/>
            <w:noWrap w:val="0"/>
            <w:vAlign w:val="center"/>
          </w:tcPr>
          <w:p>
            <w:pPr>
              <w:widowControl/>
              <w:jc w:val="center"/>
              <w:rPr>
                <w:rFonts w:hint="eastAsia" w:ascii="宋体" w:hAnsi="宋体" w:eastAsia="宋体" w:cs="宋体"/>
                <w:b w:val="0"/>
                <w:bCs w:val="0"/>
                <w:color w:val="auto"/>
                <w:szCs w:val="21"/>
                <w:lang w:val="en-US" w:eastAsia="zh-CN"/>
              </w:rPr>
            </w:pPr>
            <w:r>
              <w:rPr>
                <w:rFonts w:hint="eastAsia" w:ascii="宋体" w:hAnsi="宋体" w:cs="宋体"/>
                <w:b w:val="0"/>
                <w:bCs w:val="0"/>
                <w:color w:val="auto"/>
                <w:szCs w:val="21"/>
                <w:lang w:val="en-US" w:eastAsia="zh-CN"/>
              </w:rPr>
              <w:t>11</w:t>
            </w:r>
          </w:p>
        </w:tc>
        <w:tc>
          <w:tcPr>
            <w:tcW w:w="1169" w:type="pct"/>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i w:val="0"/>
                <w:color w:val="auto"/>
                <w:kern w:val="0"/>
                <w:sz w:val="21"/>
                <w:szCs w:val="21"/>
                <w:u w:val="none"/>
                <w:lang w:val="en-US" w:eastAsia="zh-CN" w:bidi="ar"/>
              </w:rPr>
              <w:t>学前教育</w:t>
            </w:r>
          </w:p>
        </w:tc>
        <w:tc>
          <w:tcPr>
            <w:tcW w:w="653"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0</w:t>
            </w:r>
          </w:p>
        </w:tc>
        <w:tc>
          <w:tcPr>
            <w:tcW w:w="619"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58</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63</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121</w:t>
            </w:r>
          </w:p>
        </w:tc>
        <w:tc>
          <w:tcPr>
            <w:tcW w:w="715" w:type="pct"/>
            <w:noWrap w:val="0"/>
            <w:vAlign w:val="center"/>
          </w:tcPr>
          <w:p>
            <w:pPr>
              <w:keepNext w:val="0"/>
              <w:keepLines w:val="0"/>
              <w:widowControl/>
              <w:suppressLineNumbers w:val="0"/>
              <w:jc w:val="center"/>
              <w:textAlignment w:val="center"/>
              <w:rPr>
                <w:rFonts w:ascii="Times New Roman" w:hAnsi="Times New Roman" w:cs="宋体"/>
                <w:szCs w:val="21"/>
              </w:rPr>
            </w:pPr>
            <w:r>
              <w:rPr>
                <w:rFonts w:hint="default" w:ascii="Times New Roman" w:hAnsi="Times New Roman" w:eastAsia="宋体" w:cs="Times New Roman"/>
                <w:i w:val="0"/>
                <w:iCs w:val="0"/>
                <w:color w:val="000000"/>
                <w:kern w:val="0"/>
                <w:sz w:val="21"/>
                <w:szCs w:val="21"/>
                <w:u w:val="none"/>
                <w:lang w:val="en-US" w:eastAsia="zh-CN" w:bidi="ar"/>
              </w:rPr>
              <w:t>8.27%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14" w:type="pct"/>
            <w:noWrap w:val="0"/>
            <w:vAlign w:val="center"/>
          </w:tcPr>
          <w:p>
            <w:pPr>
              <w:widowControl/>
              <w:jc w:val="center"/>
              <w:rPr>
                <w:rFonts w:hint="eastAsia" w:ascii="宋体" w:hAnsi="宋体" w:eastAsia="宋体" w:cs="宋体"/>
                <w:b w:val="0"/>
                <w:bCs w:val="0"/>
                <w:color w:val="auto"/>
                <w:szCs w:val="21"/>
                <w:lang w:val="en-US" w:eastAsia="zh-CN"/>
              </w:rPr>
            </w:pPr>
            <w:r>
              <w:rPr>
                <w:rFonts w:hint="eastAsia" w:ascii="宋体" w:hAnsi="宋体" w:cs="宋体"/>
                <w:b w:val="0"/>
                <w:bCs w:val="0"/>
                <w:color w:val="auto"/>
                <w:szCs w:val="21"/>
                <w:lang w:val="en-US" w:eastAsia="zh-CN"/>
              </w:rPr>
              <w:t>12</w:t>
            </w:r>
          </w:p>
        </w:tc>
        <w:tc>
          <w:tcPr>
            <w:tcW w:w="1169" w:type="pct"/>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21"/>
                <w:szCs w:val="21"/>
                <w:lang w:val="en-US" w:eastAsia="zh-CN" w:bidi="ar-SA"/>
              </w:rPr>
            </w:pPr>
            <w:r>
              <w:rPr>
                <w:rFonts w:hint="eastAsia" w:ascii="宋体" w:hAnsi="宋体" w:eastAsia="宋体" w:cs="宋体"/>
                <w:b w:val="0"/>
                <w:bCs w:val="0"/>
                <w:i w:val="0"/>
                <w:color w:val="auto"/>
                <w:kern w:val="0"/>
                <w:sz w:val="21"/>
                <w:szCs w:val="21"/>
                <w:u w:val="none"/>
                <w:lang w:val="en-US" w:eastAsia="zh-CN" w:bidi="ar"/>
              </w:rPr>
              <w:t>幼儿保育</w:t>
            </w:r>
          </w:p>
        </w:tc>
        <w:tc>
          <w:tcPr>
            <w:tcW w:w="653"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111</w:t>
            </w:r>
          </w:p>
        </w:tc>
        <w:tc>
          <w:tcPr>
            <w:tcW w:w="619"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0</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0</w:t>
            </w:r>
          </w:p>
        </w:tc>
        <w:tc>
          <w:tcPr>
            <w:tcW w:w="714" w:type="pct"/>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i w:val="0"/>
                <w:color w:val="auto"/>
                <w:kern w:val="0"/>
                <w:sz w:val="21"/>
                <w:szCs w:val="21"/>
                <w:u w:val="none"/>
                <w:lang w:val="en-US" w:eastAsia="zh-CN" w:bidi="ar"/>
              </w:rPr>
              <w:t>111</w:t>
            </w:r>
          </w:p>
        </w:tc>
        <w:tc>
          <w:tcPr>
            <w:tcW w:w="715" w:type="pct"/>
            <w:noWrap w:val="0"/>
            <w:vAlign w:val="center"/>
          </w:tcPr>
          <w:p>
            <w:pPr>
              <w:keepNext w:val="0"/>
              <w:keepLines w:val="0"/>
              <w:widowControl/>
              <w:suppressLineNumbers w:val="0"/>
              <w:jc w:val="center"/>
              <w:textAlignment w:val="center"/>
              <w:rPr>
                <w:rFonts w:ascii="Times New Roman" w:hAnsi="Times New Roman" w:cs="宋体"/>
                <w:szCs w:val="21"/>
              </w:rPr>
            </w:pPr>
            <w:r>
              <w:rPr>
                <w:rFonts w:hint="default" w:ascii="Times New Roman" w:hAnsi="Times New Roman" w:eastAsia="宋体" w:cs="Times New Roman"/>
                <w:i w:val="0"/>
                <w:iCs w:val="0"/>
                <w:color w:val="000000"/>
                <w:kern w:val="0"/>
                <w:sz w:val="21"/>
                <w:szCs w:val="21"/>
                <w:u w:val="none"/>
                <w:lang w:val="en-US" w:eastAsia="zh-CN" w:bidi="ar"/>
              </w:rPr>
              <w:t>7.59%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83" w:type="pct"/>
            <w:gridSpan w:val="2"/>
            <w:noWrap w:val="0"/>
            <w:vAlign w:val="center"/>
          </w:tcPr>
          <w:p>
            <w:pPr>
              <w:widowControl/>
              <w:jc w:val="center"/>
              <w:rPr>
                <w:rFonts w:ascii="Times New Roman" w:hAnsi="Times New Roman" w:cs="宋体"/>
                <w:szCs w:val="21"/>
              </w:rPr>
            </w:pPr>
            <w:r>
              <w:rPr>
                <w:rFonts w:hint="eastAsia" w:ascii="Times New Roman" w:hAnsi="Times New Roman" w:cs="宋体"/>
                <w:szCs w:val="21"/>
              </w:rPr>
              <w:t>合计</w:t>
            </w:r>
          </w:p>
        </w:tc>
        <w:tc>
          <w:tcPr>
            <w:tcW w:w="653" w:type="pct"/>
            <w:noWrap w:val="0"/>
            <w:vAlign w:val="center"/>
          </w:tcPr>
          <w:p>
            <w:pPr>
              <w:widowControl/>
              <w:jc w:val="center"/>
              <w:rPr>
                <w:rFonts w:hint="default" w:ascii="Times New Roman" w:hAnsi="Times New Roman" w:eastAsia="宋体" w:cs="宋体"/>
                <w:szCs w:val="21"/>
                <w:lang w:val="en-US" w:eastAsia="zh-CN"/>
              </w:rPr>
            </w:pPr>
            <w:r>
              <w:rPr>
                <w:rFonts w:hint="eastAsia" w:ascii="Times New Roman" w:hAnsi="Times New Roman" w:cs="宋体"/>
                <w:szCs w:val="21"/>
                <w:lang w:val="en-US" w:eastAsia="zh-CN"/>
              </w:rPr>
              <w:t>593</w:t>
            </w:r>
          </w:p>
        </w:tc>
        <w:tc>
          <w:tcPr>
            <w:tcW w:w="619" w:type="pct"/>
            <w:noWrap w:val="0"/>
            <w:vAlign w:val="center"/>
          </w:tcPr>
          <w:p>
            <w:pPr>
              <w:widowControl/>
              <w:jc w:val="center"/>
              <w:rPr>
                <w:rFonts w:hint="default" w:ascii="Times New Roman" w:hAnsi="Times New Roman" w:eastAsia="宋体" w:cs="宋体"/>
                <w:szCs w:val="21"/>
                <w:lang w:val="en-US" w:eastAsia="zh-CN"/>
              </w:rPr>
            </w:pPr>
            <w:r>
              <w:rPr>
                <w:rFonts w:hint="eastAsia" w:ascii="Times New Roman" w:hAnsi="Times New Roman" w:cs="宋体"/>
                <w:szCs w:val="21"/>
                <w:lang w:val="en-US" w:eastAsia="zh-CN"/>
              </w:rPr>
              <w:t>493</w:t>
            </w:r>
          </w:p>
        </w:tc>
        <w:tc>
          <w:tcPr>
            <w:tcW w:w="714" w:type="pct"/>
            <w:noWrap w:val="0"/>
            <w:vAlign w:val="center"/>
          </w:tcPr>
          <w:p>
            <w:pPr>
              <w:widowControl/>
              <w:jc w:val="center"/>
              <w:rPr>
                <w:rFonts w:hint="default" w:ascii="Times New Roman" w:hAnsi="Times New Roman" w:eastAsia="宋体" w:cs="宋体"/>
                <w:szCs w:val="21"/>
                <w:lang w:val="en-US" w:eastAsia="zh-CN"/>
              </w:rPr>
            </w:pPr>
            <w:r>
              <w:rPr>
                <w:rFonts w:hint="eastAsia" w:ascii="Times New Roman" w:hAnsi="Times New Roman" w:cs="宋体"/>
                <w:szCs w:val="21"/>
                <w:lang w:val="en-US" w:eastAsia="zh-CN"/>
              </w:rPr>
              <w:t>377</w:t>
            </w:r>
          </w:p>
        </w:tc>
        <w:tc>
          <w:tcPr>
            <w:tcW w:w="714" w:type="pct"/>
            <w:noWrap w:val="0"/>
            <w:vAlign w:val="center"/>
          </w:tcPr>
          <w:p>
            <w:pPr>
              <w:widowControl/>
              <w:jc w:val="center"/>
              <w:rPr>
                <w:rFonts w:hint="default" w:ascii="Times New Roman" w:hAnsi="Times New Roman" w:eastAsia="宋体" w:cs="宋体"/>
                <w:szCs w:val="21"/>
                <w:lang w:val="en-US" w:eastAsia="zh-CN"/>
              </w:rPr>
            </w:pPr>
            <w:r>
              <w:rPr>
                <w:rFonts w:hint="eastAsia" w:ascii="Times New Roman" w:hAnsi="Times New Roman" w:cs="宋体"/>
                <w:szCs w:val="21"/>
                <w:lang w:val="en-US" w:eastAsia="zh-CN"/>
              </w:rPr>
              <w:t>1463</w:t>
            </w:r>
          </w:p>
        </w:tc>
        <w:tc>
          <w:tcPr>
            <w:tcW w:w="715" w:type="pct"/>
            <w:noWrap w:val="0"/>
            <w:vAlign w:val="center"/>
          </w:tcPr>
          <w:p>
            <w:pPr>
              <w:widowControl/>
              <w:jc w:val="center"/>
              <w:rPr>
                <w:rFonts w:hint="default" w:ascii="Times New Roman" w:hAnsi="Times New Roman" w:eastAsia="宋体" w:cs="宋体"/>
                <w:szCs w:val="21"/>
                <w:lang w:val="en-US" w:eastAsia="zh-CN"/>
              </w:rPr>
            </w:pPr>
            <w:r>
              <w:rPr>
                <w:rFonts w:hint="eastAsia" w:ascii="Times New Roman" w:hAnsi="Times New Roman" w:cs="宋体"/>
                <w:szCs w:val="21"/>
                <w:lang w:val="en-US" w:eastAsia="zh-CN"/>
              </w:rPr>
              <w:t>100%</w:t>
            </w:r>
          </w:p>
        </w:tc>
      </w:tr>
    </w:tbl>
    <w:p>
      <w:pPr>
        <w:pStyle w:val="5"/>
        <w:rPr>
          <w:rFonts w:ascii="Times New Roman" w:hAnsi="Times New Roman"/>
        </w:rPr>
      </w:pPr>
      <w:bookmarkStart w:id="15" w:name="_Toc11158"/>
      <w:bookmarkStart w:id="16" w:name="_Toc61256671"/>
      <w:r>
        <w:rPr>
          <w:rFonts w:ascii="Times New Roman" w:hAnsi="Times New Roman"/>
        </w:rPr>
        <w:t>（三）教师队伍</w:t>
      </w:r>
      <w:bookmarkEnd w:id="15"/>
      <w:bookmarkEnd w:id="16"/>
    </w:p>
    <w:p>
      <w:pPr>
        <w:pStyle w:val="34"/>
        <w:ind w:firstLine="562"/>
        <w:rPr>
          <w:rFonts w:ascii="Times New Roman" w:hAnsi="Times New Roman" w:cs="Times New Roman"/>
          <w:szCs w:val="28"/>
        </w:rPr>
      </w:pPr>
      <w:r>
        <w:rPr>
          <w:rFonts w:hint="eastAsia" w:ascii="Times New Roman" w:hAnsi="Times New Roman" w:cs="Times New Roman"/>
          <w:b/>
          <w:bCs/>
          <w:szCs w:val="28"/>
        </w:rPr>
        <w:t>1.</w:t>
      </w:r>
      <w:r>
        <w:rPr>
          <w:rFonts w:ascii="Times New Roman" w:hAnsi="Times New Roman" w:cs="Times New Roman"/>
          <w:b/>
        </w:rPr>
        <w:t>师资队伍总体结构</w:t>
      </w:r>
    </w:p>
    <w:p>
      <w:pPr>
        <w:pStyle w:val="34"/>
        <w:spacing w:line="300" w:lineRule="auto"/>
        <w:ind w:firstLine="480"/>
        <w:rPr>
          <w:rFonts w:ascii="Times New Roman" w:hAnsi="Times New Roman" w:cs="Times New Roman"/>
          <w:sz w:val="24"/>
          <w:szCs w:val="28"/>
        </w:rPr>
      </w:pPr>
      <w:r>
        <w:rPr>
          <w:rFonts w:ascii="Times New Roman" w:hAnsi="Times New Roman" w:cs="Times New Roman"/>
          <w:sz w:val="24"/>
          <w:szCs w:val="28"/>
        </w:rPr>
        <w:t>201</w:t>
      </w:r>
      <w:r>
        <w:rPr>
          <w:rFonts w:hint="eastAsia" w:ascii="Times New Roman" w:hAnsi="Times New Roman" w:cs="Times New Roman"/>
          <w:sz w:val="24"/>
          <w:szCs w:val="28"/>
        </w:rPr>
        <w:t>9</w:t>
      </w:r>
      <w:r>
        <w:rPr>
          <w:rFonts w:ascii="Times New Roman" w:hAnsi="Times New Roman" w:cs="Times New Roman"/>
          <w:sz w:val="24"/>
          <w:szCs w:val="28"/>
        </w:rPr>
        <w:t>-20</w:t>
      </w:r>
      <w:r>
        <w:rPr>
          <w:rFonts w:hint="eastAsia" w:ascii="Times New Roman" w:hAnsi="Times New Roman" w:cs="Times New Roman"/>
          <w:sz w:val="24"/>
          <w:szCs w:val="28"/>
        </w:rPr>
        <w:t>20</w:t>
      </w:r>
      <w:r>
        <w:rPr>
          <w:rFonts w:ascii="Times New Roman" w:hAnsi="Times New Roman" w:cs="Times New Roman"/>
          <w:sz w:val="24"/>
          <w:szCs w:val="28"/>
        </w:rPr>
        <w:t>学年，</w:t>
      </w:r>
      <w:r>
        <w:rPr>
          <w:rFonts w:hint="eastAsia" w:ascii="Times New Roman" w:hAnsi="Times New Roman" w:cs="Times New Roman"/>
          <w:sz w:val="24"/>
          <w:szCs w:val="28"/>
        </w:rPr>
        <w:t>学校</w:t>
      </w:r>
      <w:r>
        <w:rPr>
          <w:rFonts w:ascii="Times New Roman" w:hAnsi="Times New Roman" w:cs="Times New Roman"/>
          <w:sz w:val="24"/>
          <w:szCs w:val="28"/>
        </w:rPr>
        <w:t>专任教师</w:t>
      </w:r>
      <w:r>
        <w:rPr>
          <w:rFonts w:ascii="Times New Roman" w:hAnsi="Times New Roman" w:cs="Times New Roman"/>
          <w:sz w:val="24"/>
          <w:szCs w:val="28"/>
          <w:vertAlign w:val="superscript"/>
        </w:rPr>
        <w:footnoteReference w:id="4"/>
      </w:r>
      <w:r>
        <w:rPr>
          <w:rFonts w:hint="eastAsia" w:ascii="Times New Roman" w:hAnsi="Times New Roman" w:cs="Times New Roman"/>
          <w:sz w:val="24"/>
          <w:szCs w:val="28"/>
          <w:lang w:val="en-US" w:eastAsia="zh-CN"/>
        </w:rPr>
        <w:t>81</w:t>
      </w:r>
      <w:r>
        <w:rPr>
          <w:rFonts w:ascii="Times New Roman" w:hAnsi="Times New Roman" w:cs="Times New Roman"/>
          <w:sz w:val="24"/>
          <w:szCs w:val="28"/>
        </w:rPr>
        <w:t>人，生师比</w:t>
      </w:r>
      <w:r>
        <w:rPr>
          <w:rFonts w:ascii="Times New Roman" w:hAnsi="Times New Roman" w:cs="Times New Roman"/>
          <w:sz w:val="24"/>
          <w:szCs w:val="28"/>
          <w:vertAlign w:val="superscript"/>
        </w:rPr>
        <w:footnoteReference w:id="5"/>
      </w:r>
      <w:r>
        <w:rPr>
          <w:rFonts w:ascii="Times New Roman" w:hAnsi="Times New Roman" w:cs="Times New Roman"/>
          <w:sz w:val="24"/>
          <w:szCs w:val="28"/>
        </w:rPr>
        <w:t>为</w:t>
      </w:r>
      <w:r>
        <w:rPr>
          <w:rFonts w:hint="eastAsia" w:ascii="Times New Roman" w:hAnsi="Times New Roman" w:cs="Times New Roman"/>
          <w:sz w:val="24"/>
          <w:szCs w:val="28"/>
          <w:lang w:val="en-US" w:eastAsia="zh-CN"/>
        </w:rPr>
        <w:t>18.06</w:t>
      </w:r>
      <w:r>
        <w:rPr>
          <w:rFonts w:ascii="Times New Roman" w:hAnsi="Times New Roman" w:cs="Times New Roman"/>
          <w:sz w:val="24"/>
          <w:szCs w:val="28"/>
        </w:rPr>
        <w:t>:1。</w:t>
      </w:r>
      <w:r>
        <w:rPr>
          <w:rFonts w:ascii="Times New Roman" w:hAnsi="Times New Roman" w:cs="Times New Roman"/>
          <w:color w:val="000000" w:themeColor="text1"/>
          <w:sz w:val="24"/>
          <w:szCs w:val="28"/>
          <w14:textFill>
            <w14:solidFill>
              <w14:schemeClr w14:val="tx1"/>
            </w14:solidFill>
          </w14:textFill>
        </w:rPr>
        <w:t>其中</w:t>
      </w:r>
      <w:r>
        <w:rPr>
          <w:rFonts w:hint="eastAsia" w:ascii="Times New Roman" w:hAnsi="Times New Roman" w:cs="Times New Roman"/>
          <w:color w:val="000000" w:themeColor="text1"/>
          <w:sz w:val="24"/>
          <w:szCs w:val="28"/>
          <w14:textFill>
            <w14:solidFill>
              <w14:schemeClr w14:val="tx1"/>
            </w14:solidFill>
          </w14:textFill>
        </w:rPr>
        <w:t>，</w:t>
      </w:r>
      <w:r>
        <w:rPr>
          <w:rFonts w:ascii="Times New Roman" w:hAnsi="Times New Roman" w:cs="Times New Roman"/>
          <w:color w:val="000000" w:themeColor="text1"/>
          <w:sz w:val="24"/>
          <w:szCs w:val="28"/>
          <w14:textFill>
            <w14:solidFill>
              <w14:schemeClr w14:val="tx1"/>
            </w14:solidFill>
          </w14:textFill>
        </w:rPr>
        <w:t>专业课教师</w:t>
      </w:r>
      <w:r>
        <w:rPr>
          <w:rFonts w:hint="eastAsia" w:ascii="Times New Roman" w:hAnsi="Times New Roman" w:cs="Times New Roman"/>
          <w:color w:val="000000" w:themeColor="text1"/>
          <w:sz w:val="24"/>
          <w:szCs w:val="28"/>
          <w:lang w:val="en-US" w:eastAsia="zh-CN"/>
          <w14:textFill>
            <w14:solidFill>
              <w14:schemeClr w14:val="tx1"/>
            </w14:solidFill>
          </w14:textFill>
        </w:rPr>
        <w:t>60</w:t>
      </w:r>
      <w:r>
        <w:rPr>
          <w:rFonts w:ascii="Times New Roman" w:hAnsi="Times New Roman" w:cs="Times New Roman"/>
          <w:color w:val="000000" w:themeColor="text1"/>
          <w:sz w:val="24"/>
          <w:szCs w:val="28"/>
          <w14:textFill>
            <w14:solidFill>
              <w14:schemeClr w14:val="tx1"/>
            </w14:solidFill>
          </w14:textFill>
        </w:rPr>
        <w:t>人，占专任教师数的</w:t>
      </w:r>
      <w:r>
        <w:rPr>
          <w:rFonts w:hint="eastAsia" w:ascii="Times New Roman" w:hAnsi="Times New Roman" w:cs="Times New Roman"/>
          <w:color w:val="000000" w:themeColor="text1"/>
          <w:sz w:val="24"/>
          <w:szCs w:val="28"/>
          <w:lang w:val="en-US" w:eastAsia="zh-CN"/>
          <w14:textFill>
            <w14:solidFill>
              <w14:schemeClr w14:val="tx1"/>
            </w14:solidFill>
          </w14:textFill>
        </w:rPr>
        <w:t>74.07</w:t>
      </w:r>
      <w:r>
        <w:rPr>
          <w:rFonts w:ascii="Times New Roman" w:hAnsi="Times New Roman" w:cs="Times New Roman"/>
          <w:color w:val="000000" w:themeColor="text1"/>
          <w:sz w:val="24"/>
          <w:szCs w:val="28"/>
          <w14:textFill>
            <w14:solidFill>
              <w14:schemeClr w14:val="tx1"/>
            </w14:solidFill>
          </w14:textFill>
        </w:rPr>
        <w:t>%；“双师型”教师</w:t>
      </w:r>
      <w:r>
        <w:rPr>
          <w:rFonts w:ascii="Times New Roman" w:hAnsi="Times New Roman" w:cs="Times New Roman"/>
          <w:color w:val="000000" w:themeColor="text1"/>
          <w:sz w:val="24"/>
          <w:szCs w:val="28"/>
          <w:vertAlign w:val="superscript"/>
          <w14:textFill>
            <w14:solidFill>
              <w14:schemeClr w14:val="tx1"/>
            </w14:solidFill>
          </w14:textFill>
        </w:rPr>
        <w:footnoteReference w:id="6"/>
      </w:r>
      <w:r>
        <w:rPr>
          <w:rFonts w:hint="eastAsia" w:ascii="Times New Roman" w:hAnsi="Times New Roman" w:cs="Times New Roman"/>
          <w:color w:val="000000" w:themeColor="text1"/>
          <w:sz w:val="24"/>
          <w:szCs w:val="28"/>
          <w14:textFill>
            <w14:solidFill>
              <w14:schemeClr w14:val="tx1"/>
            </w14:solidFill>
          </w14:textFill>
        </w:rPr>
        <w:t>42</w:t>
      </w:r>
      <w:r>
        <w:rPr>
          <w:rFonts w:ascii="Times New Roman" w:hAnsi="Times New Roman" w:cs="Times New Roman"/>
          <w:color w:val="000000" w:themeColor="text1"/>
          <w:sz w:val="24"/>
          <w:szCs w:val="28"/>
          <w14:textFill>
            <w14:solidFill>
              <w14:schemeClr w14:val="tx1"/>
            </w14:solidFill>
          </w14:textFill>
        </w:rPr>
        <w:t>人，占比</w:t>
      </w:r>
      <w:r>
        <w:rPr>
          <w:rFonts w:ascii="Times New Roman" w:hAnsi="Times New Roman" w:cs="Times New Roman"/>
          <w:color w:val="000000" w:themeColor="text1"/>
          <w:sz w:val="24"/>
          <w:szCs w:val="28"/>
          <w:vertAlign w:val="superscript"/>
          <w14:textFill>
            <w14:solidFill>
              <w14:schemeClr w14:val="tx1"/>
            </w14:solidFill>
          </w14:textFill>
        </w:rPr>
        <w:footnoteReference w:id="7"/>
      </w:r>
      <w:r>
        <w:rPr>
          <w:rFonts w:ascii="Times New Roman" w:hAnsi="Times New Roman" w:cs="Times New Roman"/>
          <w:color w:val="000000" w:themeColor="text1"/>
          <w:sz w:val="24"/>
          <w:szCs w:val="28"/>
          <w14:textFill>
            <w14:solidFill>
              <w14:schemeClr w14:val="tx1"/>
            </w14:solidFill>
          </w14:textFill>
        </w:rPr>
        <w:t>达到</w:t>
      </w:r>
      <w:r>
        <w:rPr>
          <w:rFonts w:hint="eastAsia" w:ascii="Times New Roman" w:hAnsi="Times New Roman" w:cs="Times New Roman"/>
          <w:color w:val="000000" w:themeColor="text1"/>
          <w:sz w:val="24"/>
          <w:szCs w:val="28"/>
          <w:lang w:val="en-US" w:eastAsia="zh-CN"/>
          <w14:textFill>
            <w14:solidFill>
              <w14:schemeClr w14:val="tx1"/>
            </w14:solidFill>
          </w14:textFill>
        </w:rPr>
        <w:t>51.85</w:t>
      </w:r>
      <w:r>
        <w:rPr>
          <w:rFonts w:ascii="Times New Roman" w:hAnsi="Times New Roman" w:cs="Times New Roman"/>
          <w:color w:val="000000" w:themeColor="text1"/>
          <w:sz w:val="24"/>
          <w:szCs w:val="28"/>
          <w14:textFill>
            <w14:solidFill>
              <w14:schemeClr w14:val="tx1"/>
            </w14:solidFill>
          </w14:textFill>
        </w:rPr>
        <w:t>%。</w:t>
      </w:r>
      <w:r>
        <w:rPr>
          <w:rFonts w:hint="eastAsia" w:ascii="Times New Roman" w:hAnsi="Times New Roman" w:cs="Times New Roman"/>
          <w:sz w:val="24"/>
          <w:szCs w:val="28"/>
        </w:rPr>
        <w:t>因专任教师岗位调整，本学年专任教师数较上学年减少了</w:t>
      </w:r>
      <w:r>
        <w:rPr>
          <w:rFonts w:hint="eastAsia" w:ascii="Times New Roman" w:hAnsi="Times New Roman" w:cs="Times New Roman"/>
          <w:sz w:val="24"/>
          <w:szCs w:val="28"/>
          <w:lang w:val="en-US" w:eastAsia="zh-CN"/>
        </w:rPr>
        <w:t>38</w:t>
      </w:r>
      <w:r>
        <w:rPr>
          <w:rFonts w:hint="eastAsia" w:ascii="Times New Roman" w:hAnsi="Times New Roman" w:cs="Times New Roman"/>
          <w:sz w:val="24"/>
          <w:szCs w:val="28"/>
        </w:rPr>
        <w:t>人，</w:t>
      </w:r>
      <w:r>
        <w:rPr>
          <w:rFonts w:hint="eastAsia" w:ascii="Times New Roman" w:hAnsi="Times New Roman" w:cs="Times New Roman"/>
          <w:color w:val="000000" w:themeColor="text1"/>
          <w:sz w:val="24"/>
          <w:szCs w:val="28"/>
          <w14:textFill>
            <w14:solidFill>
              <w14:schemeClr w14:val="tx1"/>
            </w14:solidFill>
          </w14:textFill>
        </w:rPr>
        <w:t>参照《中等职业学校设置标准》，学校教师总体结构指标依然超过标准。</w:t>
      </w:r>
      <w:r>
        <w:rPr>
          <w:rFonts w:ascii="Times New Roman" w:hAnsi="Times New Roman" w:cs="Times New Roman"/>
          <w:sz w:val="24"/>
          <w:szCs w:val="28"/>
        </w:rPr>
        <w:t>近两学年师资队伍总体结构情况</w:t>
      </w:r>
      <w:r>
        <w:rPr>
          <w:rFonts w:hint="eastAsia" w:ascii="Times New Roman" w:hAnsi="Times New Roman" w:cs="Times New Roman"/>
          <w:sz w:val="24"/>
          <w:szCs w:val="28"/>
        </w:rPr>
        <w:t>统计</w:t>
      </w:r>
      <w:r>
        <w:rPr>
          <w:rFonts w:ascii="Times New Roman" w:hAnsi="Times New Roman" w:cs="Times New Roman"/>
          <w:sz w:val="24"/>
          <w:szCs w:val="28"/>
        </w:rPr>
        <w:t>见表1-3。</w:t>
      </w:r>
    </w:p>
    <w:p>
      <w:pPr>
        <w:rPr>
          <w:rFonts w:ascii="Times New Roman" w:hAnsi="Times New Roman" w:cs="Times New Roman"/>
          <w:sz w:val="24"/>
          <w:szCs w:val="28"/>
        </w:rPr>
      </w:pPr>
      <w:r>
        <w:rPr>
          <w:rFonts w:ascii="Times New Roman" w:hAnsi="Times New Roman" w:cs="Times New Roman"/>
          <w:sz w:val="24"/>
          <w:szCs w:val="28"/>
        </w:rPr>
        <w:br w:type="page"/>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表1-3  师资队伍总体结构</w:t>
      </w:r>
    </w:p>
    <w:tbl>
      <w:tblPr>
        <w:tblStyle w:val="17"/>
        <w:tblW w:w="82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1045"/>
        <w:gridCol w:w="1159"/>
        <w:gridCol w:w="874"/>
        <w:gridCol w:w="1386"/>
        <w:gridCol w:w="823"/>
        <w:gridCol w:w="14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1199" w:type="dxa"/>
            <w:vMerge w:val="restart"/>
            <w:shd w:val="clear" w:color="auto" w:fill="C6D9F0" w:themeFill="text2" w:themeFillTint="33"/>
            <w:vAlign w:val="center"/>
          </w:tcPr>
          <w:p>
            <w:pPr>
              <w:widowControl/>
              <w:jc w:val="center"/>
              <w:rPr>
                <w:rFonts w:ascii="Times New Roman" w:hAnsi="Times New Roman"/>
                <w:b/>
                <w:color w:val="000000"/>
                <w:kern w:val="0"/>
                <w:szCs w:val="21"/>
              </w:rPr>
            </w:pPr>
            <w:r>
              <w:rPr>
                <w:rFonts w:ascii="Times New Roman" w:hAnsi="Times New Roman"/>
                <w:b/>
                <w:color w:val="000000"/>
                <w:kern w:val="0"/>
                <w:szCs w:val="21"/>
              </w:rPr>
              <w:t>学年</w:t>
            </w:r>
          </w:p>
        </w:tc>
        <w:tc>
          <w:tcPr>
            <w:tcW w:w="825" w:type="dxa"/>
            <w:vMerge w:val="restart"/>
            <w:shd w:val="clear" w:color="auto" w:fill="C6D9F0" w:themeFill="text2" w:themeFillTint="33"/>
            <w:vAlign w:val="center"/>
          </w:tcPr>
          <w:p>
            <w:pPr>
              <w:widowControl/>
              <w:jc w:val="center"/>
              <w:rPr>
                <w:rFonts w:ascii="Times New Roman" w:hAnsi="Times New Roman"/>
                <w:b/>
                <w:color w:val="000000"/>
                <w:kern w:val="0"/>
                <w:szCs w:val="21"/>
              </w:rPr>
            </w:pPr>
            <w:bookmarkStart w:id="17" w:name="_Toc456028125"/>
            <w:bookmarkStart w:id="18" w:name="_Toc444806961"/>
            <w:r>
              <w:rPr>
                <w:rFonts w:ascii="Times New Roman" w:hAnsi="Times New Roman"/>
                <w:b/>
                <w:color w:val="000000"/>
                <w:kern w:val="0"/>
                <w:szCs w:val="21"/>
              </w:rPr>
              <w:t>专任教师总数</w:t>
            </w:r>
            <w:bookmarkEnd w:id="17"/>
            <w:bookmarkEnd w:id="18"/>
          </w:p>
        </w:tc>
        <w:tc>
          <w:tcPr>
            <w:tcW w:w="915" w:type="dxa"/>
            <w:vMerge w:val="restart"/>
            <w:shd w:val="clear" w:color="auto" w:fill="C6D9F0" w:themeFill="text2" w:themeFillTint="33"/>
            <w:vAlign w:val="center"/>
          </w:tcPr>
          <w:p>
            <w:pPr>
              <w:widowControl/>
              <w:spacing w:before="100" w:beforeAutospacing="1" w:after="100" w:afterAutospacing="1"/>
              <w:jc w:val="center"/>
              <w:rPr>
                <w:rFonts w:ascii="Times New Roman" w:hAnsi="Times New Roman"/>
                <w:b/>
                <w:color w:val="000000"/>
                <w:kern w:val="0"/>
                <w:szCs w:val="21"/>
              </w:rPr>
            </w:pPr>
            <w:bookmarkStart w:id="19" w:name="_Toc456028126"/>
            <w:bookmarkStart w:id="20" w:name="_Toc444806962"/>
            <w:r>
              <w:rPr>
                <w:rFonts w:ascii="Times New Roman" w:hAnsi="Times New Roman"/>
                <w:b/>
                <w:color w:val="000000"/>
                <w:kern w:val="0"/>
                <w:szCs w:val="21"/>
              </w:rPr>
              <w:t>生师比</w:t>
            </w:r>
            <w:bookmarkEnd w:id="19"/>
            <w:bookmarkEnd w:id="20"/>
          </w:p>
        </w:tc>
        <w:tc>
          <w:tcPr>
            <w:tcW w:w="1785" w:type="dxa"/>
            <w:gridSpan w:val="2"/>
            <w:shd w:val="clear" w:color="auto" w:fill="C6D9F0" w:themeFill="text2" w:themeFillTint="33"/>
            <w:vAlign w:val="center"/>
          </w:tcPr>
          <w:p>
            <w:pPr>
              <w:widowControl/>
              <w:jc w:val="center"/>
              <w:rPr>
                <w:rFonts w:ascii="Times New Roman" w:hAnsi="Times New Roman"/>
                <w:b/>
                <w:color w:val="000000"/>
                <w:kern w:val="0"/>
                <w:szCs w:val="21"/>
              </w:rPr>
            </w:pPr>
            <w:bookmarkStart w:id="21" w:name="_Toc444806965"/>
            <w:bookmarkStart w:id="22" w:name="_Toc456028129"/>
            <w:r>
              <w:rPr>
                <w:rFonts w:ascii="Times New Roman" w:hAnsi="Times New Roman"/>
                <w:b/>
                <w:color w:val="000000"/>
                <w:kern w:val="0"/>
                <w:szCs w:val="21"/>
              </w:rPr>
              <w:t>专任教师中</w:t>
            </w:r>
            <w:bookmarkEnd w:id="21"/>
            <w:bookmarkEnd w:id="22"/>
          </w:p>
          <w:p>
            <w:pPr>
              <w:widowControl/>
              <w:jc w:val="center"/>
              <w:rPr>
                <w:rFonts w:ascii="Times New Roman" w:hAnsi="Times New Roman"/>
                <w:b/>
                <w:color w:val="000000"/>
                <w:kern w:val="0"/>
                <w:szCs w:val="21"/>
              </w:rPr>
            </w:pPr>
            <w:bookmarkStart w:id="23" w:name="_Toc444806966"/>
            <w:bookmarkStart w:id="24" w:name="_Toc456028130"/>
            <w:r>
              <w:rPr>
                <w:rFonts w:ascii="Times New Roman" w:hAnsi="Times New Roman"/>
                <w:b/>
                <w:color w:val="000000"/>
                <w:kern w:val="0"/>
                <w:szCs w:val="21"/>
              </w:rPr>
              <w:t>专业课教师</w:t>
            </w:r>
            <w:bookmarkEnd w:id="23"/>
            <w:bookmarkEnd w:id="24"/>
          </w:p>
        </w:tc>
        <w:tc>
          <w:tcPr>
            <w:tcW w:w="1813" w:type="dxa"/>
            <w:gridSpan w:val="2"/>
            <w:shd w:val="clear" w:color="auto" w:fill="C6D9F0" w:themeFill="text2" w:themeFillTint="33"/>
            <w:vAlign w:val="center"/>
          </w:tcPr>
          <w:p>
            <w:pPr>
              <w:widowControl/>
              <w:jc w:val="center"/>
              <w:rPr>
                <w:rFonts w:ascii="Times New Roman" w:hAnsi="Times New Roman"/>
                <w:b/>
                <w:color w:val="000000"/>
                <w:kern w:val="0"/>
                <w:szCs w:val="21"/>
              </w:rPr>
            </w:pPr>
            <w:bookmarkStart w:id="25" w:name="_Toc444806967"/>
            <w:bookmarkStart w:id="26" w:name="_Toc456028131"/>
            <w:r>
              <w:rPr>
                <w:rFonts w:ascii="Times New Roman" w:hAnsi="Times New Roman"/>
                <w:b/>
                <w:color w:val="000000"/>
                <w:kern w:val="0"/>
                <w:szCs w:val="21"/>
              </w:rPr>
              <w:t>专任教师中</w:t>
            </w:r>
            <w:bookmarkEnd w:id="25"/>
            <w:bookmarkEnd w:id="26"/>
          </w:p>
          <w:p>
            <w:pPr>
              <w:widowControl/>
              <w:jc w:val="center"/>
              <w:rPr>
                <w:rFonts w:ascii="Times New Roman" w:hAnsi="Times New Roman"/>
                <w:b/>
                <w:color w:val="000000"/>
                <w:kern w:val="0"/>
                <w:szCs w:val="21"/>
              </w:rPr>
            </w:pPr>
            <w:bookmarkStart w:id="27" w:name="_Toc456028132"/>
            <w:bookmarkStart w:id="28" w:name="_Toc444806968"/>
            <w:r>
              <w:rPr>
                <w:rFonts w:ascii="Times New Roman" w:hAnsi="Times New Roman"/>
                <w:b/>
                <w:color w:val="000000"/>
                <w:kern w:val="0"/>
                <w:szCs w:val="21"/>
              </w:rPr>
              <w:t>双师教师</w:t>
            </w:r>
            <w:bookmarkEnd w:id="27"/>
            <w:bookmarkEnd w:id="2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99" w:type="dxa"/>
            <w:vMerge w:val="continue"/>
            <w:shd w:val="clear" w:color="auto" w:fill="C6D9F0" w:themeFill="text2" w:themeFillTint="33"/>
            <w:vAlign w:val="center"/>
          </w:tcPr>
          <w:p>
            <w:pPr>
              <w:widowControl/>
              <w:jc w:val="center"/>
              <w:rPr>
                <w:rFonts w:ascii="Times New Roman" w:hAnsi="Times New Roman"/>
                <w:b/>
                <w:color w:val="000000"/>
                <w:kern w:val="0"/>
                <w:szCs w:val="21"/>
              </w:rPr>
            </w:pPr>
          </w:p>
        </w:tc>
        <w:tc>
          <w:tcPr>
            <w:tcW w:w="825" w:type="dxa"/>
            <w:vMerge w:val="continue"/>
            <w:shd w:val="clear" w:color="auto" w:fill="C6D9F0" w:themeFill="text2" w:themeFillTint="33"/>
            <w:vAlign w:val="center"/>
          </w:tcPr>
          <w:p>
            <w:pPr>
              <w:widowControl/>
              <w:jc w:val="center"/>
              <w:rPr>
                <w:rFonts w:ascii="Times New Roman" w:hAnsi="Times New Roman"/>
                <w:b/>
                <w:color w:val="000000"/>
                <w:kern w:val="0"/>
                <w:szCs w:val="21"/>
              </w:rPr>
            </w:pPr>
          </w:p>
        </w:tc>
        <w:tc>
          <w:tcPr>
            <w:tcW w:w="915" w:type="dxa"/>
            <w:vMerge w:val="continue"/>
            <w:shd w:val="clear" w:color="auto" w:fill="C6D9F0" w:themeFill="text2" w:themeFillTint="33"/>
            <w:vAlign w:val="center"/>
          </w:tcPr>
          <w:p>
            <w:pPr>
              <w:widowControl/>
              <w:jc w:val="center"/>
              <w:rPr>
                <w:rFonts w:ascii="Times New Roman" w:hAnsi="Times New Roman"/>
                <w:b/>
                <w:color w:val="000000"/>
                <w:kern w:val="0"/>
                <w:szCs w:val="21"/>
              </w:rPr>
            </w:pPr>
          </w:p>
        </w:tc>
        <w:tc>
          <w:tcPr>
            <w:tcW w:w="690" w:type="dxa"/>
            <w:shd w:val="clear" w:color="auto" w:fill="C6D9F0" w:themeFill="text2" w:themeFillTint="33"/>
            <w:vAlign w:val="center"/>
          </w:tcPr>
          <w:p>
            <w:pPr>
              <w:widowControl/>
              <w:jc w:val="center"/>
              <w:rPr>
                <w:rFonts w:ascii="Times New Roman" w:hAnsi="Times New Roman"/>
                <w:b/>
                <w:color w:val="000000"/>
                <w:kern w:val="0"/>
                <w:szCs w:val="21"/>
              </w:rPr>
            </w:pPr>
            <w:bookmarkStart w:id="29" w:name="_Toc444806969"/>
            <w:bookmarkStart w:id="30" w:name="_Toc456028133"/>
            <w:r>
              <w:rPr>
                <w:rFonts w:ascii="Times New Roman" w:hAnsi="Times New Roman"/>
                <w:b/>
                <w:color w:val="000000"/>
                <w:kern w:val="0"/>
                <w:szCs w:val="21"/>
              </w:rPr>
              <w:t>人数</w:t>
            </w:r>
            <w:bookmarkEnd w:id="29"/>
            <w:bookmarkEnd w:id="30"/>
          </w:p>
        </w:tc>
        <w:tc>
          <w:tcPr>
            <w:tcW w:w="1095" w:type="dxa"/>
            <w:shd w:val="clear" w:color="auto" w:fill="C6D9F0" w:themeFill="text2" w:themeFillTint="33"/>
            <w:vAlign w:val="center"/>
          </w:tcPr>
          <w:p>
            <w:pPr>
              <w:widowControl/>
              <w:jc w:val="center"/>
              <w:rPr>
                <w:rFonts w:ascii="Times New Roman" w:hAnsi="Times New Roman"/>
                <w:b/>
                <w:color w:val="000000"/>
                <w:kern w:val="0"/>
                <w:szCs w:val="21"/>
              </w:rPr>
            </w:pPr>
            <w:bookmarkStart w:id="31" w:name="_Toc456028134"/>
            <w:bookmarkStart w:id="32" w:name="_Toc444806970"/>
            <w:r>
              <w:rPr>
                <w:rFonts w:ascii="Times New Roman" w:hAnsi="Times New Roman"/>
                <w:b/>
                <w:color w:val="000000"/>
                <w:kern w:val="0"/>
                <w:szCs w:val="21"/>
              </w:rPr>
              <w:t>占比（%）</w:t>
            </w:r>
            <w:bookmarkEnd w:id="31"/>
            <w:bookmarkEnd w:id="32"/>
          </w:p>
        </w:tc>
        <w:tc>
          <w:tcPr>
            <w:tcW w:w="650" w:type="dxa"/>
            <w:shd w:val="clear" w:color="auto" w:fill="C6D9F0" w:themeFill="text2" w:themeFillTint="33"/>
            <w:vAlign w:val="center"/>
          </w:tcPr>
          <w:p>
            <w:pPr>
              <w:widowControl/>
              <w:jc w:val="center"/>
              <w:rPr>
                <w:rFonts w:ascii="Times New Roman" w:hAnsi="Times New Roman"/>
                <w:b/>
                <w:color w:val="000000"/>
                <w:kern w:val="0"/>
                <w:szCs w:val="21"/>
              </w:rPr>
            </w:pPr>
            <w:bookmarkStart w:id="33" w:name="_Toc444806971"/>
            <w:bookmarkStart w:id="34" w:name="_Toc456028135"/>
            <w:r>
              <w:rPr>
                <w:rFonts w:ascii="Times New Roman" w:hAnsi="Times New Roman"/>
                <w:b/>
                <w:color w:val="000000"/>
                <w:kern w:val="0"/>
                <w:szCs w:val="21"/>
              </w:rPr>
              <w:t>人数</w:t>
            </w:r>
            <w:bookmarkEnd w:id="33"/>
            <w:bookmarkEnd w:id="34"/>
          </w:p>
        </w:tc>
        <w:tc>
          <w:tcPr>
            <w:tcW w:w="1163" w:type="dxa"/>
            <w:shd w:val="clear" w:color="auto" w:fill="C6D9F0" w:themeFill="text2" w:themeFillTint="33"/>
            <w:vAlign w:val="center"/>
          </w:tcPr>
          <w:p>
            <w:pPr>
              <w:widowControl/>
              <w:jc w:val="center"/>
              <w:rPr>
                <w:rFonts w:ascii="Times New Roman" w:hAnsi="Times New Roman"/>
                <w:b/>
                <w:color w:val="000000"/>
                <w:kern w:val="0"/>
                <w:szCs w:val="21"/>
              </w:rPr>
            </w:pPr>
            <w:bookmarkStart w:id="35" w:name="_Toc444806972"/>
            <w:bookmarkStart w:id="36" w:name="_Toc456028136"/>
            <w:r>
              <w:rPr>
                <w:rFonts w:ascii="Times New Roman" w:hAnsi="Times New Roman"/>
                <w:b/>
                <w:color w:val="000000"/>
                <w:kern w:val="0"/>
                <w:szCs w:val="21"/>
              </w:rPr>
              <w:t>占比</w:t>
            </w:r>
            <w:r>
              <w:rPr>
                <w:rFonts w:hint="eastAsia" w:ascii="Times New Roman" w:hAnsi="Times New Roman"/>
                <w:b/>
                <w:color w:val="000000"/>
                <w:kern w:val="0"/>
                <w:szCs w:val="21"/>
              </w:rPr>
              <w:t>（</w:t>
            </w:r>
            <w:r>
              <w:rPr>
                <w:rFonts w:ascii="Times New Roman" w:hAnsi="Times New Roman"/>
                <w:b/>
                <w:color w:val="000000"/>
                <w:kern w:val="0"/>
                <w:szCs w:val="21"/>
              </w:rPr>
              <w:t>%</w:t>
            </w:r>
            <w:bookmarkEnd w:id="35"/>
            <w:bookmarkEnd w:id="36"/>
            <w:r>
              <w:rPr>
                <w:rFonts w:hint="eastAsia" w:ascii="Times New Roman" w:hAnsi="Times New Roman"/>
                <w:b/>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99" w:type="dxa"/>
            <w:vAlign w:val="center"/>
          </w:tcPr>
          <w:p>
            <w:pPr>
              <w:widowControl/>
              <w:spacing w:line="200" w:lineRule="atLeast"/>
              <w:jc w:val="center"/>
              <w:rPr>
                <w:rFonts w:ascii="Times New Roman" w:hAnsi="Times New Roman"/>
                <w:color w:val="000000"/>
                <w:kern w:val="0"/>
                <w:szCs w:val="21"/>
              </w:rPr>
            </w:pPr>
            <w:r>
              <w:rPr>
                <w:rFonts w:ascii="Times New Roman" w:hAnsi="Times New Roman"/>
                <w:color w:val="000000"/>
                <w:kern w:val="0"/>
                <w:szCs w:val="21"/>
              </w:rPr>
              <w:t>201</w:t>
            </w:r>
            <w:r>
              <w:rPr>
                <w:rFonts w:hint="eastAsia" w:ascii="Times New Roman" w:hAnsi="Times New Roman"/>
                <w:color w:val="000000"/>
                <w:kern w:val="0"/>
                <w:szCs w:val="21"/>
              </w:rPr>
              <w:t>9</w:t>
            </w:r>
            <w:r>
              <w:rPr>
                <w:rFonts w:ascii="Times New Roman" w:hAnsi="Times New Roman"/>
                <w:color w:val="000000"/>
                <w:kern w:val="0"/>
                <w:szCs w:val="21"/>
              </w:rPr>
              <w:t>-20</w:t>
            </w:r>
            <w:r>
              <w:rPr>
                <w:rFonts w:hint="eastAsia" w:ascii="Times New Roman" w:hAnsi="Times New Roman"/>
                <w:color w:val="000000"/>
                <w:kern w:val="0"/>
                <w:szCs w:val="21"/>
              </w:rPr>
              <w:t>20</w:t>
            </w:r>
          </w:p>
        </w:tc>
        <w:tc>
          <w:tcPr>
            <w:tcW w:w="825" w:type="dxa"/>
            <w:vAlign w:val="center"/>
          </w:tcPr>
          <w:p>
            <w:pPr>
              <w:widowControl/>
              <w:spacing w:line="200" w:lineRule="atLeast"/>
              <w:jc w:val="center"/>
              <w:rPr>
                <w:rFonts w:ascii="Times New Roman" w:hAnsi="Times New Roman"/>
                <w:color w:val="000000"/>
                <w:kern w:val="0"/>
                <w:szCs w:val="21"/>
              </w:rPr>
            </w:pPr>
            <w:r>
              <w:rPr>
                <w:rFonts w:hint="eastAsia" w:ascii="Times New Roman" w:hAnsi="Times New Roman"/>
                <w:color w:val="000000"/>
                <w:kern w:val="0"/>
                <w:szCs w:val="21"/>
              </w:rPr>
              <w:t>119</w:t>
            </w:r>
          </w:p>
        </w:tc>
        <w:tc>
          <w:tcPr>
            <w:tcW w:w="915" w:type="dxa"/>
            <w:vAlign w:val="center"/>
          </w:tcPr>
          <w:p>
            <w:pPr>
              <w:widowControl/>
              <w:spacing w:line="200" w:lineRule="atLeast"/>
              <w:jc w:val="center"/>
              <w:rPr>
                <w:rFonts w:ascii="Times New Roman" w:hAnsi="Times New Roman"/>
                <w:color w:val="FF0000"/>
                <w:kern w:val="0"/>
                <w:szCs w:val="21"/>
              </w:rPr>
            </w:pPr>
            <w:r>
              <w:rPr>
                <w:rFonts w:hint="eastAsia" w:ascii="Times New Roman" w:hAnsi="Times New Roman"/>
                <w:kern w:val="0"/>
                <w:szCs w:val="21"/>
              </w:rPr>
              <w:t>11.04:1</w:t>
            </w:r>
          </w:p>
        </w:tc>
        <w:tc>
          <w:tcPr>
            <w:tcW w:w="690"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rPr>
              <w:t xml:space="preserve">95 </w:t>
            </w:r>
          </w:p>
        </w:tc>
        <w:tc>
          <w:tcPr>
            <w:tcW w:w="1095"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rPr>
              <w:t>79.83</w:t>
            </w:r>
          </w:p>
        </w:tc>
        <w:tc>
          <w:tcPr>
            <w:tcW w:w="650" w:type="dxa"/>
            <w:vAlign w:val="center"/>
          </w:tcPr>
          <w:p>
            <w:pPr>
              <w:widowControl/>
              <w:spacing w:line="200" w:lineRule="atLeast"/>
              <w:jc w:val="center"/>
              <w:rPr>
                <w:rFonts w:ascii="Times New Roman" w:hAnsi="Times New Roman"/>
                <w:color w:val="000000"/>
                <w:kern w:val="0"/>
                <w:szCs w:val="21"/>
              </w:rPr>
            </w:pPr>
            <w:r>
              <w:rPr>
                <w:rFonts w:hint="eastAsia" w:ascii="Times New Roman" w:hAnsi="Times New Roman"/>
                <w:color w:val="000000" w:themeColor="text1"/>
                <w:kern w:val="0"/>
                <w:szCs w:val="21"/>
                <w14:textFill>
                  <w14:solidFill>
                    <w14:schemeClr w14:val="tx1"/>
                  </w14:solidFill>
                </w14:textFill>
              </w:rPr>
              <w:t>42</w:t>
            </w:r>
          </w:p>
        </w:tc>
        <w:tc>
          <w:tcPr>
            <w:tcW w:w="1163" w:type="dxa"/>
            <w:vAlign w:val="center"/>
          </w:tcPr>
          <w:p>
            <w:pPr>
              <w:widowControl/>
              <w:spacing w:line="200" w:lineRule="atLeast"/>
              <w:jc w:val="center"/>
              <w:rPr>
                <w:rFonts w:ascii="Times New Roman" w:hAnsi="Times New Roman"/>
                <w:color w:val="000000"/>
                <w:kern w:val="0"/>
                <w:szCs w:val="21"/>
              </w:rPr>
            </w:pPr>
            <w:r>
              <w:rPr>
                <w:rFonts w:hint="eastAsia" w:ascii="Times New Roman" w:hAnsi="Times New Roman"/>
                <w:kern w:val="0"/>
                <w:szCs w:val="21"/>
              </w:rPr>
              <w:t>35.29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99" w:type="dxa"/>
            <w:vAlign w:val="center"/>
          </w:tcPr>
          <w:p>
            <w:pPr>
              <w:widowControl/>
              <w:spacing w:line="200" w:lineRule="atLeast"/>
              <w:jc w:val="center"/>
              <w:rPr>
                <w:rFonts w:ascii="Times New Roman" w:hAnsi="Times New Roman"/>
                <w:color w:val="000000"/>
                <w:kern w:val="0"/>
                <w:szCs w:val="21"/>
              </w:rPr>
            </w:pPr>
            <w:r>
              <w:rPr>
                <w:rFonts w:hint="eastAsia" w:ascii="Times New Roman" w:hAnsi="Times New Roman"/>
                <w:color w:val="000000"/>
                <w:kern w:val="0"/>
                <w:szCs w:val="21"/>
                <w:lang w:val="en-US" w:eastAsia="zh-CN"/>
              </w:rPr>
              <w:t>2020-2021</w:t>
            </w:r>
          </w:p>
        </w:tc>
        <w:tc>
          <w:tcPr>
            <w:tcW w:w="825" w:type="dxa"/>
            <w:vAlign w:val="center"/>
          </w:tcPr>
          <w:p>
            <w:pPr>
              <w:widowControl/>
              <w:spacing w:line="200" w:lineRule="atLeast"/>
              <w:jc w:val="center"/>
              <w:rPr>
                <w:rFonts w:ascii="Times New Roman" w:hAnsi="Times New Roman"/>
                <w:color w:val="000000"/>
                <w:kern w:val="0"/>
                <w:szCs w:val="21"/>
              </w:rPr>
            </w:pPr>
            <w:r>
              <w:rPr>
                <w:rFonts w:hint="eastAsia" w:ascii="Times New Roman" w:hAnsi="Times New Roman"/>
                <w:color w:val="000000"/>
                <w:kern w:val="0"/>
                <w:szCs w:val="21"/>
                <w:lang w:val="en-US" w:eastAsia="zh-CN"/>
              </w:rPr>
              <w:t>81</w:t>
            </w:r>
          </w:p>
        </w:tc>
        <w:tc>
          <w:tcPr>
            <w:tcW w:w="915"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lang w:val="en-US" w:eastAsia="zh-CN"/>
              </w:rPr>
              <w:t>18.06:1</w:t>
            </w:r>
          </w:p>
        </w:tc>
        <w:tc>
          <w:tcPr>
            <w:tcW w:w="690"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lang w:val="en-US" w:eastAsia="zh-CN"/>
              </w:rPr>
              <w:t>60</w:t>
            </w:r>
          </w:p>
        </w:tc>
        <w:tc>
          <w:tcPr>
            <w:tcW w:w="1095"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lang w:val="en-US" w:eastAsia="zh-CN"/>
              </w:rPr>
              <w:t>74.07</w:t>
            </w:r>
          </w:p>
        </w:tc>
        <w:tc>
          <w:tcPr>
            <w:tcW w:w="650" w:type="dxa"/>
            <w:vAlign w:val="center"/>
          </w:tcPr>
          <w:p>
            <w:pPr>
              <w:widowControl/>
              <w:spacing w:line="200" w:lineRule="atLeast"/>
              <w:jc w:val="center"/>
              <w:rPr>
                <w:rFonts w:ascii="Times New Roman" w:hAnsi="Times New Roman"/>
                <w:kern w:val="0"/>
                <w:szCs w:val="21"/>
              </w:rPr>
            </w:pPr>
            <w:r>
              <w:rPr>
                <w:rFonts w:hint="eastAsia" w:ascii="Times New Roman" w:hAnsi="Times New Roman"/>
                <w:color w:val="000000" w:themeColor="text1"/>
                <w:kern w:val="0"/>
                <w:szCs w:val="21"/>
                <w:lang w:val="en-US" w:eastAsia="zh-CN"/>
                <w14:textFill>
                  <w14:solidFill>
                    <w14:schemeClr w14:val="tx1"/>
                  </w14:solidFill>
                </w14:textFill>
              </w:rPr>
              <w:t>42</w:t>
            </w:r>
          </w:p>
        </w:tc>
        <w:tc>
          <w:tcPr>
            <w:tcW w:w="1163"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lang w:val="en-US" w:eastAsia="zh-CN"/>
              </w:rPr>
              <w:t>51.85</w:t>
            </w:r>
          </w:p>
        </w:tc>
      </w:tr>
    </w:tbl>
    <w:p>
      <w:pPr>
        <w:pStyle w:val="34"/>
        <w:ind w:firstLine="562"/>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2.专任教师学历结构</w:t>
      </w:r>
    </w:p>
    <w:p>
      <w:pPr>
        <w:pStyle w:val="34"/>
        <w:spacing w:line="300" w:lineRule="auto"/>
        <w:ind w:firstLine="480"/>
        <w:rPr>
          <w:rFonts w:ascii="Times New Roman" w:hAnsi="Times New Roman" w:cs="Times New Roman"/>
          <w:color w:val="000000" w:themeColor="text1"/>
          <w:sz w:val="24"/>
          <w:szCs w:val="28"/>
          <w14:textFill>
            <w14:solidFill>
              <w14:schemeClr w14:val="tx1"/>
            </w14:solidFill>
          </w14:textFill>
        </w:rPr>
      </w:pPr>
      <w:r>
        <w:rPr>
          <w:rFonts w:hint="eastAsia" w:ascii="Times New Roman" w:hAnsi="Times New Roman" w:cs="Times New Roman"/>
          <w:color w:val="000000" w:themeColor="text1"/>
          <w:sz w:val="24"/>
          <w:szCs w:val="28"/>
          <w:lang w:val="en-US" w:eastAsia="zh-CN"/>
          <w14:textFill>
            <w14:solidFill>
              <w14:schemeClr w14:val="tx1"/>
            </w14:solidFill>
          </w14:textFill>
        </w:rPr>
        <w:t>2020-2021</w:t>
      </w:r>
      <w:r>
        <w:rPr>
          <w:rFonts w:hint="eastAsia" w:ascii="Times New Roman" w:hAnsi="Times New Roman" w:cs="Times New Roman"/>
          <w:color w:val="000000" w:themeColor="text1"/>
          <w:sz w:val="24"/>
          <w:szCs w:val="28"/>
          <w14:textFill>
            <w14:solidFill>
              <w14:schemeClr w14:val="tx1"/>
            </w14:solidFill>
          </w14:textFill>
        </w:rPr>
        <w:t>学年，</w:t>
      </w:r>
      <w:r>
        <w:rPr>
          <w:rFonts w:ascii="Times New Roman" w:hAnsi="Times New Roman" w:cs="Times New Roman"/>
          <w:color w:val="000000" w:themeColor="text1"/>
          <w:sz w:val="24"/>
          <w:szCs w:val="28"/>
          <w14:textFill>
            <w14:solidFill>
              <w14:schemeClr w14:val="tx1"/>
            </w14:solidFill>
          </w14:textFill>
        </w:rPr>
        <w:t>专任教师中具有本科学历的教师</w:t>
      </w:r>
      <w:r>
        <w:rPr>
          <w:rFonts w:hint="eastAsia" w:ascii="Times New Roman" w:hAnsi="Times New Roman" w:cs="Times New Roman"/>
          <w:color w:val="000000" w:themeColor="text1"/>
          <w:sz w:val="24"/>
          <w:szCs w:val="28"/>
          <w:lang w:val="en-US" w:eastAsia="zh-CN"/>
          <w14:textFill>
            <w14:solidFill>
              <w14:schemeClr w14:val="tx1"/>
            </w14:solidFill>
          </w14:textFill>
        </w:rPr>
        <w:t>81</w:t>
      </w:r>
      <w:r>
        <w:rPr>
          <w:rFonts w:hint="eastAsia" w:ascii="Times New Roman" w:hAnsi="Times New Roman" w:cs="Times New Roman"/>
          <w:color w:val="000000" w:themeColor="text1"/>
          <w:sz w:val="24"/>
          <w:szCs w:val="28"/>
          <w14:textFill>
            <w14:solidFill>
              <w14:schemeClr w14:val="tx1"/>
            </w14:solidFill>
          </w14:textFill>
        </w:rPr>
        <w:t>人，</w:t>
      </w:r>
      <w:r>
        <w:rPr>
          <w:rFonts w:ascii="Times New Roman" w:hAnsi="Times New Roman" w:cs="Times New Roman"/>
          <w:color w:val="000000" w:themeColor="text1"/>
          <w:sz w:val="24"/>
          <w:szCs w:val="28"/>
          <w14:textFill>
            <w14:solidFill>
              <w14:schemeClr w14:val="tx1"/>
            </w14:solidFill>
          </w14:textFill>
        </w:rPr>
        <w:t>占</w:t>
      </w:r>
      <w:r>
        <w:rPr>
          <w:rFonts w:hint="eastAsia" w:ascii="Times New Roman" w:hAnsi="Times New Roman" w:cs="Times New Roman"/>
          <w:color w:val="000000" w:themeColor="text1"/>
          <w:sz w:val="24"/>
          <w:szCs w:val="28"/>
          <w14:textFill>
            <w14:solidFill>
              <w14:schemeClr w14:val="tx1"/>
            </w14:solidFill>
          </w14:textFill>
        </w:rPr>
        <w:t>比</w:t>
      </w:r>
      <w:r>
        <w:rPr>
          <w:rFonts w:hint="eastAsia" w:ascii="Times New Roman" w:hAnsi="Times New Roman" w:cs="Times New Roman"/>
          <w:color w:val="000000" w:themeColor="text1"/>
          <w:sz w:val="24"/>
          <w:szCs w:val="28"/>
          <w:lang w:val="en-US" w:eastAsia="zh-CN"/>
          <w14:textFill>
            <w14:solidFill>
              <w14:schemeClr w14:val="tx1"/>
            </w14:solidFill>
          </w14:textFill>
        </w:rPr>
        <w:t>96.30</w:t>
      </w:r>
      <w:r>
        <w:rPr>
          <w:rFonts w:ascii="Times New Roman" w:hAnsi="Times New Roman" w:cs="Times New Roman"/>
          <w:color w:val="000000" w:themeColor="text1"/>
          <w:sz w:val="24"/>
          <w:szCs w:val="28"/>
          <w14:textFill>
            <w14:solidFill>
              <w14:schemeClr w14:val="tx1"/>
            </w14:solidFill>
          </w14:textFill>
        </w:rPr>
        <w:t>%</w:t>
      </w:r>
      <w:r>
        <w:rPr>
          <w:rFonts w:hint="eastAsia" w:ascii="Times New Roman" w:hAnsi="Times New Roman" w:cs="Times New Roman"/>
          <w:color w:val="000000" w:themeColor="text1"/>
          <w:sz w:val="24"/>
          <w:szCs w:val="28"/>
          <w14:textFill>
            <w14:solidFill>
              <w14:schemeClr w14:val="tx1"/>
            </w14:solidFill>
          </w14:textFill>
        </w:rPr>
        <w:t>；本</w:t>
      </w:r>
      <w:r>
        <w:rPr>
          <w:rFonts w:ascii="Times New Roman" w:hAnsi="Times New Roman" w:cs="Times New Roman"/>
          <w:color w:val="000000" w:themeColor="text1"/>
          <w:sz w:val="24"/>
          <w:szCs w:val="28"/>
          <w14:textFill>
            <w14:solidFill>
              <w14:schemeClr w14:val="tx1"/>
            </w14:solidFill>
          </w14:textFill>
        </w:rPr>
        <w:t>科以下专任教师</w:t>
      </w:r>
      <w:r>
        <w:rPr>
          <w:rFonts w:hint="eastAsia" w:ascii="Times New Roman" w:hAnsi="Times New Roman" w:cs="Times New Roman"/>
          <w:color w:val="000000" w:themeColor="text1"/>
          <w:sz w:val="24"/>
          <w:szCs w:val="28"/>
          <w14:textFill>
            <w14:solidFill>
              <w14:schemeClr w14:val="tx1"/>
            </w14:solidFill>
          </w14:textFill>
        </w:rPr>
        <w:t>3人，</w:t>
      </w:r>
      <w:r>
        <w:rPr>
          <w:rFonts w:ascii="Times New Roman" w:hAnsi="Times New Roman" w:cs="Times New Roman"/>
          <w:color w:val="000000" w:themeColor="text1"/>
          <w:sz w:val="24"/>
          <w:szCs w:val="28"/>
          <w14:textFill>
            <w14:solidFill>
              <w14:schemeClr w14:val="tx1"/>
            </w14:solidFill>
          </w14:textFill>
        </w:rPr>
        <w:t>占</w:t>
      </w:r>
      <w:r>
        <w:rPr>
          <w:rFonts w:hint="eastAsia" w:ascii="Times New Roman" w:hAnsi="Times New Roman" w:cs="Times New Roman"/>
          <w:color w:val="000000" w:themeColor="text1"/>
          <w:sz w:val="24"/>
          <w:szCs w:val="28"/>
          <w14:textFill>
            <w14:solidFill>
              <w14:schemeClr w14:val="tx1"/>
            </w14:solidFill>
          </w14:textFill>
        </w:rPr>
        <w:t>比</w:t>
      </w:r>
      <w:r>
        <w:rPr>
          <w:rFonts w:hint="eastAsia" w:ascii="Times New Roman" w:hAnsi="Times New Roman" w:cs="Times New Roman"/>
          <w:color w:val="000000" w:themeColor="text1"/>
          <w:sz w:val="24"/>
          <w:szCs w:val="28"/>
          <w:lang w:val="en-US" w:eastAsia="zh-CN"/>
          <w14:textFill>
            <w14:solidFill>
              <w14:schemeClr w14:val="tx1"/>
            </w14:solidFill>
          </w14:textFill>
        </w:rPr>
        <w:t>3.70</w:t>
      </w:r>
      <w:r>
        <w:rPr>
          <w:rFonts w:ascii="Times New Roman" w:hAnsi="Times New Roman" w:cs="Times New Roman"/>
          <w:color w:val="000000" w:themeColor="text1"/>
          <w:sz w:val="24"/>
          <w:szCs w:val="28"/>
          <w14:textFill>
            <w14:solidFill>
              <w14:schemeClr w14:val="tx1"/>
            </w14:solidFill>
          </w14:textFill>
        </w:rPr>
        <w:t>%</w:t>
      </w:r>
      <w:r>
        <w:rPr>
          <w:rFonts w:hint="eastAsia" w:ascii="Times New Roman" w:hAnsi="Times New Roman" w:cs="Times New Roman"/>
          <w:color w:val="000000" w:themeColor="text1"/>
          <w:sz w:val="24"/>
          <w:szCs w:val="28"/>
          <w:lang w:eastAsia="zh-CN"/>
          <w14:textFill>
            <w14:solidFill>
              <w14:schemeClr w14:val="tx1"/>
            </w14:solidFill>
          </w14:textFill>
        </w:rPr>
        <w:t>；</w:t>
      </w:r>
      <w:r>
        <w:rPr>
          <w:rFonts w:hint="eastAsia" w:ascii="Times New Roman" w:hAnsi="Times New Roman" w:cs="Times New Roman"/>
          <w:color w:val="000000" w:themeColor="text1"/>
          <w:sz w:val="24"/>
          <w:szCs w:val="28"/>
          <w:lang w:val="en-US" w:eastAsia="zh-CN"/>
          <w14:textFill>
            <w14:solidFill>
              <w14:schemeClr w14:val="tx1"/>
            </w14:solidFill>
          </w14:textFill>
        </w:rPr>
        <w:t>无研究生及以上学历专任教师</w:t>
      </w:r>
      <w:r>
        <w:rPr>
          <w:rFonts w:ascii="Times New Roman" w:hAnsi="Times New Roman" w:cs="Times New Roman"/>
          <w:color w:val="000000" w:themeColor="text1"/>
          <w:sz w:val="24"/>
          <w:szCs w:val="28"/>
          <w14:textFill>
            <w14:solidFill>
              <w14:schemeClr w14:val="tx1"/>
            </w14:solidFill>
          </w14:textFill>
        </w:rPr>
        <w:t>。</w:t>
      </w:r>
      <w:r>
        <w:rPr>
          <w:rFonts w:hint="eastAsia" w:ascii="Times New Roman" w:hAnsi="Times New Roman" w:cs="Times New Roman"/>
          <w:color w:val="000000" w:themeColor="text1"/>
          <w:sz w:val="24"/>
          <w:szCs w:val="28"/>
          <w14:textFill>
            <w14:solidFill>
              <w14:schemeClr w14:val="tx1"/>
            </w14:solidFill>
          </w14:textFill>
        </w:rPr>
        <w:t>专任教师学历结构统计见表1-4。</w:t>
      </w:r>
    </w:p>
    <w:p>
      <w:pPr>
        <w:pStyle w:val="15"/>
        <w:shd w:val="clear" w:color="auto" w:fill="FFFFFF"/>
        <w:spacing w:before="0" w:beforeAutospacing="0" w:after="0" w:afterAutospacing="0" w:line="360" w:lineRule="auto"/>
        <w:jc w:val="center"/>
        <w:rPr>
          <w:rFonts w:ascii="Times New Roman" w:hAnsi="Times New Roman" w:cs="Times New Roman"/>
          <w:b/>
          <w:color w:val="000000"/>
          <w:kern w:val="2"/>
          <w:sz w:val="21"/>
          <w:szCs w:val="21"/>
        </w:rPr>
      </w:pPr>
      <w:r>
        <w:rPr>
          <w:rFonts w:ascii="Times New Roman" w:hAnsi="Times New Roman" w:cs="Times New Roman"/>
          <w:b/>
          <w:color w:val="000000"/>
          <w:kern w:val="2"/>
          <w:sz w:val="21"/>
          <w:szCs w:val="21"/>
        </w:rPr>
        <w:t>表1-</w:t>
      </w:r>
      <w:r>
        <w:rPr>
          <w:rFonts w:hint="eastAsia" w:ascii="Times New Roman" w:hAnsi="Times New Roman" w:cs="Times New Roman"/>
          <w:b/>
          <w:color w:val="000000"/>
          <w:kern w:val="2"/>
          <w:sz w:val="21"/>
          <w:szCs w:val="21"/>
        </w:rPr>
        <w:t>4</w:t>
      </w:r>
      <w:r>
        <w:rPr>
          <w:rFonts w:ascii="Times New Roman" w:hAnsi="Times New Roman" w:cs="Times New Roman"/>
          <w:b/>
          <w:color w:val="000000"/>
          <w:kern w:val="2"/>
          <w:sz w:val="21"/>
          <w:szCs w:val="21"/>
        </w:rPr>
        <w:t xml:space="preserve">  </w:t>
      </w:r>
      <w:r>
        <w:rPr>
          <w:rFonts w:hint="eastAsia" w:ascii="Times New Roman" w:hAnsi="Times New Roman" w:cs="Times New Roman"/>
          <w:b/>
          <w:color w:val="000000"/>
          <w:kern w:val="2"/>
          <w:sz w:val="21"/>
          <w:szCs w:val="21"/>
        </w:rPr>
        <w:t>专任教师学历</w:t>
      </w:r>
      <w:r>
        <w:rPr>
          <w:rFonts w:ascii="Times New Roman" w:hAnsi="Times New Roman" w:cs="Times New Roman"/>
          <w:b/>
          <w:color w:val="000000"/>
          <w:kern w:val="2"/>
          <w:sz w:val="21"/>
          <w:szCs w:val="21"/>
        </w:rPr>
        <w:t>结构</w:t>
      </w:r>
      <w:r>
        <w:rPr>
          <w:rFonts w:hint="eastAsia" w:ascii="Times New Roman" w:hAnsi="Times New Roman" w:cs="Times New Roman"/>
          <w:b/>
          <w:color w:val="000000"/>
          <w:kern w:val="2"/>
          <w:sz w:val="21"/>
          <w:szCs w:val="21"/>
        </w:rPr>
        <w:t>统计</w:t>
      </w:r>
    </w:p>
    <w:tbl>
      <w:tblPr>
        <w:tblStyle w:val="17"/>
        <w:tblW w:w="8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4"/>
        <w:gridCol w:w="828"/>
        <w:gridCol w:w="1022"/>
        <w:gridCol w:w="1144"/>
        <w:gridCol w:w="887"/>
        <w:gridCol w:w="1182"/>
        <w:gridCol w:w="739"/>
        <w:gridCol w:w="11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jc w:val="center"/>
        </w:trPr>
        <w:tc>
          <w:tcPr>
            <w:tcW w:w="1294" w:type="dxa"/>
            <w:vMerge w:val="restart"/>
            <w:shd w:val="clear" w:color="auto" w:fill="C6D9F0" w:themeFill="text2" w:themeFillTint="33"/>
            <w:vAlign w:val="center"/>
          </w:tcPr>
          <w:p>
            <w:pPr>
              <w:widowControl/>
              <w:jc w:val="center"/>
              <w:rPr>
                <w:rFonts w:ascii="Times New Roman" w:hAnsi="Times New Roman"/>
                <w:b/>
                <w:color w:val="000000"/>
                <w:kern w:val="0"/>
                <w:szCs w:val="21"/>
              </w:rPr>
            </w:pPr>
            <w:r>
              <w:rPr>
                <w:rFonts w:ascii="Times New Roman" w:hAnsi="Times New Roman"/>
                <w:b/>
                <w:color w:val="000000"/>
                <w:kern w:val="0"/>
                <w:szCs w:val="21"/>
              </w:rPr>
              <w:t>学年</w:t>
            </w:r>
          </w:p>
        </w:tc>
        <w:tc>
          <w:tcPr>
            <w:tcW w:w="828" w:type="dxa"/>
            <w:vMerge w:val="restart"/>
            <w:shd w:val="clear" w:color="auto" w:fill="C6D9F0" w:themeFill="text2" w:themeFillTint="33"/>
            <w:vAlign w:val="center"/>
          </w:tcPr>
          <w:p>
            <w:pPr>
              <w:widowControl/>
              <w:jc w:val="center"/>
              <w:rPr>
                <w:rFonts w:ascii="Times New Roman" w:hAnsi="Times New Roman"/>
                <w:b/>
                <w:color w:val="000000"/>
                <w:kern w:val="0"/>
                <w:szCs w:val="21"/>
              </w:rPr>
            </w:pPr>
            <w:r>
              <w:rPr>
                <w:rFonts w:ascii="Times New Roman" w:hAnsi="Times New Roman"/>
                <w:b/>
                <w:color w:val="000000"/>
                <w:kern w:val="0"/>
                <w:szCs w:val="21"/>
              </w:rPr>
              <w:t>专任教师总数</w:t>
            </w:r>
          </w:p>
        </w:tc>
        <w:tc>
          <w:tcPr>
            <w:tcW w:w="2166" w:type="dxa"/>
            <w:gridSpan w:val="2"/>
            <w:shd w:val="clear" w:color="auto" w:fill="C6D9F0" w:themeFill="text2" w:themeFillTint="33"/>
            <w:vAlign w:val="center"/>
          </w:tcPr>
          <w:p>
            <w:pPr>
              <w:widowControl/>
              <w:spacing w:before="100" w:beforeAutospacing="1" w:after="100" w:afterAutospacing="1"/>
              <w:jc w:val="center"/>
              <w:rPr>
                <w:rFonts w:ascii="Times New Roman" w:hAnsi="Times New Roman"/>
                <w:b/>
                <w:color w:val="000000"/>
                <w:kern w:val="0"/>
                <w:szCs w:val="21"/>
              </w:rPr>
            </w:pPr>
            <w:r>
              <w:rPr>
                <w:rFonts w:hint="eastAsia" w:ascii="Times New Roman" w:hAnsi="Times New Roman"/>
                <w:b/>
                <w:color w:val="000000"/>
                <w:kern w:val="0"/>
                <w:szCs w:val="21"/>
              </w:rPr>
              <w:t>研究生及以上</w:t>
            </w:r>
          </w:p>
        </w:tc>
        <w:tc>
          <w:tcPr>
            <w:tcW w:w="2069" w:type="dxa"/>
            <w:gridSpan w:val="2"/>
            <w:shd w:val="clear" w:color="auto" w:fill="C6D9F0" w:themeFill="text2" w:themeFillTint="33"/>
            <w:vAlign w:val="center"/>
          </w:tcPr>
          <w:p>
            <w:pPr>
              <w:widowControl/>
              <w:jc w:val="center"/>
              <w:rPr>
                <w:rFonts w:ascii="Times New Roman" w:hAnsi="Times New Roman"/>
                <w:b/>
                <w:color w:val="000000"/>
                <w:kern w:val="0"/>
                <w:szCs w:val="21"/>
              </w:rPr>
            </w:pPr>
            <w:r>
              <w:rPr>
                <w:rFonts w:hint="eastAsia" w:ascii="Times New Roman" w:hAnsi="Times New Roman"/>
                <w:b/>
                <w:color w:val="000000"/>
                <w:kern w:val="0"/>
                <w:szCs w:val="21"/>
              </w:rPr>
              <w:t>本科</w:t>
            </w:r>
          </w:p>
        </w:tc>
        <w:tc>
          <w:tcPr>
            <w:tcW w:w="1921" w:type="dxa"/>
            <w:gridSpan w:val="2"/>
            <w:shd w:val="clear" w:color="auto" w:fill="C6D9F0" w:themeFill="text2" w:themeFillTint="33"/>
            <w:vAlign w:val="center"/>
          </w:tcPr>
          <w:p>
            <w:pPr>
              <w:widowControl/>
              <w:jc w:val="center"/>
              <w:rPr>
                <w:rFonts w:ascii="Times New Roman" w:hAnsi="Times New Roman"/>
                <w:b/>
                <w:color w:val="000000"/>
                <w:kern w:val="0"/>
                <w:szCs w:val="21"/>
              </w:rPr>
            </w:pPr>
            <w:r>
              <w:rPr>
                <w:rFonts w:hint="eastAsia" w:ascii="Times New Roman" w:hAnsi="Times New Roman"/>
                <w:b/>
                <w:color w:val="000000"/>
                <w:kern w:val="0"/>
                <w:szCs w:val="21"/>
              </w:rPr>
              <w:t>本科以下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4" w:type="dxa"/>
            <w:vMerge w:val="continue"/>
            <w:shd w:val="clear" w:color="auto" w:fill="C6D9F0" w:themeFill="text2" w:themeFillTint="33"/>
            <w:vAlign w:val="center"/>
          </w:tcPr>
          <w:p>
            <w:pPr>
              <w:widowControl/>
              <w:jc w:val="center"/>
              <w:rPr>
                <w:rFonts w:ascii="Times New Roman" w:hAnsi="Times New Roman"/>
                <w:b/>
                <w:color w:val="000000"/>
                <w:kern w:val="0"/>
                <w:szCs w:val="21"/>
              </w:rPr>
            </w:pPr>
          </w:p>
        </w:tc>
        <w:tc>
          <w:tcPr>
            <w:tcW w:w="828" w:type="dxa"/>
            <w:vMerge w:val="continue"/>
            <w:shd w:val="clear" w:color="auto" w:fill="C6D9F0" w:themeFill="text2" w:themeFillTint="33"/>
            <w:vAlign w:val="center"/>
          </w:tcPr>
          <w:p>
            <w:pPr>
              <w:widowControl/>
              <w:jc w:val="center"/>
              <w:rPr>
                <w:rFonts w:ascii="Times New Roman" w:hAnsi="Times New Roman"/>
                <w:b/>
                <w:color w:val="000000"/>
                <w:kern w:val="0"/>
                <w:szCs w:val="21"/>
              </w:rPr>
            </w:pPr>
          </w:p>
        </w:tc>
        <w:tc>
          <w:tcPr>
            <w:tcW w:w="1022" w:type="dxa"/>
            <w:shd w:val="clear" w:color="auto" w:fill="C6D9F0" w:themeFill="text2" w:themeFillTint="33"/>
            <w:vAlign w:val="center"/>
          </w:tcPr>
          <w:p>
            <w:pPr>
              <w:widowControl/>
              <w:jc w:val="center"/>
              <w:rPr>
                <w:rFonts w:ascii="Times New Roman" w:hAnsi="Times New Roman"/>
                <w:b/>
                <w:color w:val="000000"/>
                <w:kern w:val="0"/>
                <w:szCs w:val="21"/>
              </w:rPr>
            </w:pPr>
            <w:r>
              <w:rPr>
                <w:rFonts w:hint="eastAsia" w:ascii="Times New Roman" w:hAnsi="Times New Roman"/>
                <w:b/>
                <w:color w:val="000000"/>
                <w:kern w:val="0"/>
                <w:szCs w:val="21"/>
              </w:rPr>
              <w:t>人数</w:t>
            </w:r>
          </w:p>
        </w:tc>
        <w:tc>
          <w:tcPr>
            <w:tcW w:w="1144" w:type="dxa"/>
            <w:shd w:val="clear" w:color="auto" w:fill="C6D9F0" w:themeFill="text2" w:themeFillTint="33"/>
            <w:vAlign w:val="center"/>
          </w:tcPr>
          <w:p>
            <w:pPr>
              <w:widowControl/>
              <w:jc w:val="center"/>
              <w:rPr>
                <w:rFonts w:ascii="Times New Roman" w:hAnsi="Times New Roman"/>
                <w:b/>
                <w:color w:val="000000"/>
                <w:kern w:val="0"/>
                <w:szCs w:val="21"/>
              </w:rPr>
            </w:pPr>
            <w:r>
              <w:rPr>
                <w:rFonts w:hint="eastAsia" w:ascii="Times New Roman" w:hAnsi="Times New Roman"/>
                <w:b/>
                <w:color w:val="000000"/>
                <w:kern w:val="0"/>
                <w:szCs w:val="21"/>
              </w:rPr>
              <w:t>占比（%）</w:t>
            </w:r>
          </w:p>
        </w:tc>
        <w:tc>
          <w:tcPr>
            <w:tcW w:w="887" w:type="dxa"/>
            <w:shd w:val="clear" w:color="auto" w:fill="C6D9F0" w:themeFill="text2" w:themeFillTint="33"/>
            <w:vAlign w:val="center"/>
          </w:tcPr>
          <w:p>
            <w:pPr>
              <w:widowControl/>
              <w:jc w:val="center"/>
              <w:rPr>
                <w:rFonts w:ascii="Times New Roman" w:hAnsi="Times New Roman"/>
                <w:b/>
                <w:color w:val="000000"/>
                <w:kern w:val="0"/>
                <w:szCs w:val="21"/>
              </w:rPr>
            </w:pPr>
            <w:r>
              <w:rPr>
                <w:rFonts w:ascii="Times New Roman" w:hAnsi="Times New Roman"/>
                <w:b/>
                <w:color w:val="000000"/>
                <w:kern w:val="0"/>
                <w:szCs w:val="21"/>
              </w:rPr>
              <w:t>人数</w:t>
            </w:r>
          </w:p>
        </w:tc>
        <w:tc>
          <w:tcPr>
            <w:tcW w:w="1182" w:type="dxa"/>
            <w:shd w:val="clear" w:color="auto" w:fill="C6D9F0" w:themeFill="text2" w:themeFillTint="33"/>
            <w:vAlign w:val="center"/>
          </w:tcPr>
          <w:p>
            <w:pPr>
              <w:widowControl/>
              <w:jc w:val="center"/>
              <w:rPr>
                <w:rFonts w:ascii="Times New Roman" w:hAnsi="Times New Roman"/>
                <w:b/>
                <w:color w:val="000000"/>
                <w:kern w:val="0"/>
                <w:szCs w:val="21"/>
              </w:rPr>
            </w:pPr>
            <w:r>
              <w:rPr>
                <w:rFonts w:ascii="Times New Roman" w:hAnsi="Times New Roman"/>
                <w:b/>
                <w:color w:val="000000"/>
                <w:kern w:val="0"/>
                <w:szCs w:val="21"/>
              </w:rPr>
              <w:t>占比（%）</w:t>
            </w:r>
          </w:p>
        </w:tc>
        <w:tc>
          <w:tcPr>
            <w:tcW w:w="739" w:type="dxa"/>
            <w:shd w:val="clear" w:color="auto" w:fill="C6D9F0" w:themeFill="text2" w:themeFillTint="33"/>
            <w:vAlign w:val="center"/>
          </w:tcPr>
          <w:p>
            <w:pPr>
              <w:widowControl/>
              <w:jc w:val="center"/>
              <w:rPr>
                <w:rFonts w:ascii="Times New Roman" w:hAnsi="Times New Roman"/>
                <w:b/>
                <w:color w:val="000000"/>
                <w:kern w:val="0"/>
                <w:szCs w:val="21"/>
              </w:rPr>
            </w:pPr>
            <w:r>
              <w:rPr>
                <w:rFonts w:ascii="Times New Roman" w:hAnsi="Times New Roman"/>
                <w:b/>
                <w:color w:val="000000"/>
                <w:kern w:val="0"/>
                <w:szCs w:val="21"/>
              </w:rPr>
              <w:t>人数</w:t>
            </w:r>
          </w:p>
        </w:tc>
        <w:tc>
          <w:tcPr>
            <w:tcW w:w="1182" w:type="dxa"/>
            <w:shd w:val="clear" w:color="auto" w:fill="C6D9F0" w:themeFill="text2" w:themeFillTint="33"/>
            <w:vAlign w:val="center"/>
          </w:tcPr>
          <w:p>
            <w:pPr>
              <w:widowControl/>
              <w:jc w:val="center"/>
              <w:rPr>
                <w:rFonts w:ascii="Times New Roman" w:hAnsi="Times New Roman"/>
                <w:b/>
                <w:color w:val="000000"/>
                <w:kern w:val="0"/>
                <w:szCs w:val="21"/>
              </w:rPr>
            </w:pPr>
            <w:r>
              <w:rPr>
                <w:rFonts w:ascii="Times New Roman" w:hAnsi="Times New Roman"/>
                <w:b/>
                <w:color w:val="000000"/>
                <w:kern w:val="0"/>
                <w:szCs w:val="21"/>
              </w:rPr>
              <w:t>占比（%）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4" w:type="dxa"/>
            <w:vAlign w:val="center"/>
          </w:tcPr>
          <w:p>
            <w:pPr>
              <w:widowControl/>
              <w:spacing w:line="200" w:lineRule="atLeast"/>
              <w:jc w:val="center"/>
              <w:rPr>
                <w:rFonts w:ascii="Times New Roman" w:hAnsi="Times New Roman" w:eastAsia="宋体" w:cs="Times New Roman"/>
                <w:color w:val="000000"/>
                <w:kern w:val="0"/>
                <w:sz w:val="21"/>
                <w:szCs w:val="21"/>
                <w:lang w:val="en-US" w:eastAsia="zh-CN" w:bidi="ar-SA"/>
              </w:rPr>
            </w:pPr>
            <w:r>
              <w:rPr>
                <w:rFonts w:ascii="Times New Roman" w:hAnsi="Times New Roman"/>
                <w:color w:val="000000"/>
                <w:kern w:val="0"/>
                <w:szCs w:val="21"/>
              </w:rPr>
              <w:t>201</w:t>
            </w:r>
            <w:r>
              <w:rPr>
                <w:rFonts w:hint="eastAsia" w:ascii="Times New Roman" w:hAnsi="Times New Roman"/>
                <w:color w:val="000000"/>
                <w:kern w:val="0"/>
                <w:szCs w:val="21"/>
              </w:rPr>
              <w:t>9</w:t>
            </w:r>
            <w:r>
              <w:rPr>
                <w:rFonts w:ascii="Times New Roman" w:hAnsi="Times New Roman"/>
                <w:color w:val="000000"/>
                <w:kern w:val="0"/>
                <w:szCs w:val="21"/>
              </w:rPr>
              <w:t>-20</w:t>
            </w:r>
            <w:r>
              <w:rPr>
                <w:rFonts w:hint="eastAsia" w:ascii="Times New Roman" w:hAnsi="Times New Roman"/>
                <w:color w:val="000000"/>
                <w:kern w:val="0"/>
                <w:szCs w:val="21"/>
              </w:rPr>
              <w:t>20</w:t>
            </w:r>
          </w:p>
        </w:tc>
        <w:tc>
          <w:tcPr>
            <w:tcW w:w="828" w:type="dxa"/>
            <w:vAlign w:val="center"/>
          </w:tcPr>
          <w:p>
            <w:pPr>
              <w:widowControl/>
              <w:spacing w:line="200" w:lineRule="atLeast"/>
              <w:jc w:val="center"/>
              <w:rPr>
                <w:rFonts w:ascii="Times New Roman" w:hAnsi="Times New Roman" w:eastAsia="宋体" w:cs="Times New Roman"/>
                <w:color w:val="000000"/>
                <w:kern w:val="0"/>
                <w:sz w:val="21"/>
                <w:szCs w:val="21"/>
                <w:lang w:val="en-US" w:eastAsia="zh-CN" w:bidi="ar-SA"/>
              </w:rPr>
            </w:pPr>
            <w:r>
              <w:rPr>
                <w:rFonts w:hint="eastAsia" w:ascii="Times New Roman" w:hAnsi="Times New Roman"/>
                <w:color w:val="000000"/>
                <w:kern w:val="0"/>
                <w:szCs w:val="21"/>
              </w:rPr>
              <w:t>119</w:t>
            </w:r>
          </w:p>
        </w:tc>
        <w:tc>
          <w:tcPr>
            <w:tcW w:w="1022" w:type="dxa"/>
            <w:vAlign w:val="center"/>
          </w:tcPr>
          <w:p>
            <w:pPr>
              <w:widowControl/>
              <w:spacing w:line="200" w:lineRule="atLeast"/>
              <w:jc w:val="center"/>
              <w:rPr>
                <w:rFonts w:ascii="Times New Roman" w:hAnsi="Times New Roman" w:eastAsia="宋体" w:cs="Times New Roman"/>
                <w:kern w:val="0"/>
                <w:sz w:val="21"/>
                <w:szCs w:val="21"/>
                <w:lang w:val="en-US" w:eastAsia="zh-CN" w:bidi="ar-SA"/>
              </w:rPr>
            </w:pPr>
            <w:r>
              <w:rPr>
                <w:rFonts w:hint="eastAsia" w:ascii="Times New Roman" w:hAnsi="Times New Roman"/>
                <w:kern w:val="0"/>
                <w:szCs w:val="21"/>
              </w:rPr>
              <w:t>14</w:t>
            </w:r>
          </w:p>
        </w:tc>
        <w:tc>
          <w:tcPr>
            <w:tcW w:w="1144" w:type="dxa"/>
            <w:vAlign w:val="center"/>
          </w:tcPr>
          <w:p>
            <w:pPr>
              <w:widowControl/>
              <w:spacing w:line="200" w:lineRule="atLeast"/>
              <w:jc w:val="center"/>
              <w:rPr>
                <w:rFonts w:ascii="Times New Roman" w:hAnsi="Times New Roman" w:eastAsia="宋体" w:cs="Times New Roman"/>
                <w:kern w:val="0"/>
                <w:sz w:val="21"/>
                <w:szCs w:val="21"/>
                <w:lang w:val="en-US" w:eastAsia="zh-CN" w:bidi="ar-SA"/>
              </w:rPr>
            </w:pPr>
            <w:r>
              <w:rPr>
                <w:rFonts w:ascii="Times New Roman" w:hAnsi="Times New Roman"/>
                <w:kern w:val="0"/>
                <w:szCs w:val="21"/>
              </w:rPr>
              <w:t>11.76</w:t>
            </w:r>
          </w:p>
        </w:tc>
        <w:tc>
          <w:tcPr>
            <w:tcW w:w="887" w:type="dxa"/>
            <w:vAlign w:val="center"/>
          </w:tcPr>
          <w:p>
            <w:pPr>
              <w:widowControl/>
              <w:spacing w:line="200" w:lineRule="atLeast"/>
              <w:jc w:val="center"/>
              <w:rPr>
                <w:rFonts w:ascii="Times New Roman" w:hAnsi="Times New Roman" w:eastAsia="宋体" w:cs="Times New Roman"/>
                <w:kern w:val="0"/>
                <w:sz w:val="21"/>
                <w:szCs w:val="21"/>
                <w:lang w:val="en-US" w:eastAsia="zh-CN" w:bidi="ar-SA"/>
              </w:rPr>
            </w:pPr>
            <w:r>
              <w:rPr>
                <w:rFonts w:hint="eastAsia" w:ascii="Times New Roman" w:hAnsi="Times New Roman"/>
                <w:kern w:val="0"/>
                <w:szCs w:val="21"/>
              </w:rPr>
              <w:t>102</w:t>
            </w:r>
          </w:p>
        </w:tc>
        <w:tc>
          <w:tcPr>
            <w:tcW w:w="1182" w:type="dxa"/>
            <w:vAlign w:val="center"/>
          </w:tcPr>
          <w:p>
            <w:pPr>
              <w:widowControl/>
              <w:spacing w:line="200" w:lineRule="atLeast"/>
              <w:jc w:val="center"/>
              <w:rPr>
                <w:rFonts w:ascii="Times New Roman" w:hAnsi="Times New Roman" w:eastAsia="宋体" w:cs="Times New Roman"/>
                <w:kern w:val="0"/>
                <w:sz w:val="21"/>
                <w:szCs w:val="21"/>
                <w:lang w:val="en-US" w:eastAsia="zh-CN" w:bidi="ar-SA"/>
              </w:rPr>
            </w:pPr>
            <w:r>
              <w:rPr>
                <w:rFonts w:ascii="Times New Roman" w:hAnsi="Times New Roman"/>
                <w:kern w:val="0"/>
                <w:szCs w:val="21"/>
              </w:rPr>
              <w:t>85.71</w:t>
            </w:r>
          </w:p>
        </w:tc>
        <w:tc>
          <w:tcPr>
            <w:tcW w:w="739" w:type="dxa"/>
            <w:vAlign w:val="center"/>
          </w:tcPr>
          <w:p>
            <w:pPr>
              <w:widowControl/>
              <w:spacing w:line="200" w:lineRule="atLeast"/>
              <w:jc w:val="center"/>
              <w:rPr>
                <w:rFonts w:ascii="Times New Roman" w:hAnsi="Times New Roman" w:eastAsia="宋体" w:cs="Times New Roman"/>
                <w:kern w:val="0"/>
                <w:sz w:val="21"/>
                <w:szCs w:val="21"/>
                <w:lang w:val="en-US" w:eastAsia="zh-CN" w:bidi="ar-SA"/>
              </w:rPr>
            </w:pPr>
            <w:r>
              <w:rPr>
                <w:rFonts w:hint="eastAsia" w:ascii="Times New Roman" w:hAnsi="Times New Roman"/>
                <w:kern w:val="0"/>
                <w:szCs w:val="21"/>
              </w:rPr>
              <w:t>3</w:t>
            </w:r>
          </w:p>
        </w:tc>
        <w:tc>
          <w:tcPr>
            <w:tcW w:w="1182" w:type="dxa"/>
            <w:vAlign w:val="center"/>
          </w:tcPr>
          <w:p>
            <w:pPr>
              <w:widowControl/>
              <w:spacing w:line="200" w:lineRule="atLeast"/>
              <w:jc w:val="center"/>
              <w:rPr>
                <w:rFonts w:ascii="Times New Roman" w:hAnsi="Times New Roman" w:eastAsia="宋体" w:cs="Times New Roman"/>
                <w:kern w:val="0"/>
                <w:sz w:val="21"/>
                <w:szCs w:val="21"/>
                <w:lang w:val="en-US" w:eastAsia="zh-CN" w:bidi="ar-SA"/>
              </w:rPr>
            </w:pPr>
            <w:r>
              <w:rPr>
                <w:rFonts w:hint="eastAsia" w:ascii="Times New Roman" w:hAnsi="Times New Roman"/>
                <w:kern w:val="0"/>
                <w:szCs w:val="21"/>
              </w:rPr>
              <w:t>2.5</w:t>
            </w:r>
            <w:r>
              <w:rPr>
                <w:rFonts w:ascii="Times New Roman" w:hAnsi="Times New Roman"/>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94" w:type="dxa"/>
            <w:vAlign w:val="center"/>
          </w:tcPr>
          <w:p>
            <w:pPr>
              <w:widowControl/>
              <w:spacing w:line="200" w:lineRule="atLeast"/>
              <w:jc w:val="center"/>
              <w:rPr>
                <w:rFonts w:ascii="Times New Roman" w:hAnsi="Times New Roman"/>
                <w:color w:val="000000"/>
                <w:kern w:val="0"/>
                <w:szCs w:val="21"/>
              </w:rPr>
            </w:pPr>
            <w:r>
              <w:rPr>
                <w:rFonts w:hint="eastAsia" w:ascii="Times New Roman" w:hAnsi="Times New Roman"/>
                <w:color w:val="000000"/>
                <w:kern w:val="0"/>
                <w:szCs w:val="21"/>
                <w:lang w:val="en-US" w:eastAsia="zh-CN"/>
              </w:rPr>
              <w:t>2020-2021</w:t>
            </w:r>
          </w:p>
        </w:tc>
        <w:tc>
          <w:tcPr>
            <w:tcW w:w="828" w:type="dxa"/>
            <w:vAlign w:val="center"/>
          </w:tcPr>
          <w:p>
            <w:pPr>
              <w:widowControl/>
              <w:spacing w:line="200" w:lineRule="atLeast"/>
              <w:jc w:val="center"/>
              <w:rPr>
                <w:rFonts w:ascii="Times New Roman" w:hAnsi="Times New Roman"/>
                <w:color w:val="000000"/>
                <w:kern w:val="0"/>
                <w:szCs w:val="21"/>
              </w:rPr>
            </w:pPr>
            <w:r>
              <w:rPr>
                <w:rFonts w:hint="eastAsia" w:ascii="Times New Roman" w:hAnsi="Times New Roman"/>
                <w:color w:val="000000"/>
                <w:kern w:val="0"/>
                <w:szCs w:val="21"/>
                <w:lang w:val="en-US" w:eastAsia="zh-CN"/>
              </w:rPr>
              <w:t>81</w:t>
            </w:r>
          </w:p>
        </w:tc>
        <w:tc>
          <w:tcPr>
            <w:tcW w:w="1022"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lang w:val="en-US" w:eastAsia="zh-CN"/>
              </w:rPr>
              <w:t>0</w:t>
            </w:r>
          </w:p>
        </w:tc>
        <w:tc>
          <w:tcPr>
            <w:tcW w:w="1144"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lang w:val="en-US" w:eastAsia="zh-CN"/>
              </w:rPr>
              <w:t>0</w:t>
            </w:r>
          </w:p>
        </w:tc>
        <w:tc>
          <w:tcPr>
            <w:tcW w:w="887"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lang w:val="en-US" w:eastAsia="zh-CN"/>
              </w:rPr>
              <w:t>78</w:t>
            </w:r>
          </w:p>
        </w:tc>
        <w:tc>
          <w:tcPr>
            <w:tcW w:w="1182"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lang w:val="en-US" w:eastAsia="zh-CN"/>
              </w:rPr>
              <w:t>96.30</w:t>
            </w:r>
          </w:p>
        </w:tc>
        <w:tc>
          <w:tcPr>
            <w:tcW w:w="739"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lang w:val="en-US" w:eastAsia="zh-CN"/>
              </w:rPr>
              <w:t>3</w:t>
            </w:r>
          </w:p>
        </w:tc>
        <w:tc>
          <w:tcPr>
            <w:tcW w:w="1182"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lang w:val="en-US" w:eastAsia="zh-CN"/>
              </w:rPr>
              <w:t>3.70</w:t>
            </w:r>
          </w:p>
        </w:tc>
      </w:tr>
    </w:tbl>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color w:val="000000" w:themeColor="text1"/>
          <w:szCs w:val="28"/>
          <w14:textFill>
            <w14:solidFill>
              <w14:schemeClr w14:val="tx1"/>
            </w14:solidFill>
          </w14:textFill>
        </w:rPr>
        <w:drawing>
          <wp:inline distT="0" distB="0" distL="0" distR="0">
            <wp:extent cx="4573270" cy="2242185"/>
            <wp:effectExtent l="0" t="0" r="0" b="571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图1-</w:t>
      </w:r>
      <w:r>
        <w:rPr>
          <w:rFonts w:hint="eastAsia" w:ascii="Times New Roman" w:hAnsi="Times New Roman" w:cs="Times New Roman"/>
          <w:b/>
          <w:color w:val="000000" w:themeColor="text1"/>
          <w:kern w:val="2"/>
          <w:sz w:val="21"/>
          <w:szCs w:val="21"/>
          <w14:textFill>
            <w14:solidFill>
              <w14:schemeClr w14:val="tx1"/>
            </w14:solidFill>
          </w14:textFill>
        </w:rPr>
        <w:t>3</w:t>
      </w:r>
      <w:r>
        <w:rPr>
          <w:rFonts w:ascii="Times New Roman" w:hAnsi="Times New Roman" w:cs="Times New Roman"/>
          <w:b/>
          <w:color w:val="000000" w:themeColor="text1"/>
          <w:kern w:val="2"/>
          <w:sz w:val="21"/>
          <w:szCs w:val="21"/>
          <w14:textFill>
            <w14:solidFill>
              <w14:schemeClr w14:val="tx1"/>
            </w14:solidFill>
          </w14:textFill>
        </w:rPr>
        <w:t xml:space="preserve">  专任教师学历结构图</w:t>
      </w:r>
    </w:p>
    <w:p>
      <w:pPr>
        <w:pStyle w:val="34"/>
        <w:ind w:firstLine="562"/>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3.专任教师职称结构</w:t>
      </w:r>
    </w:p>
    <w:p>
      <w:pPr>
        <w:pStyle w:val="34"/>
        <w:spacing w:line="300" w:lineRule="auto"/>
        <w:ind w:firstLine="480"/>
        <w:rPr>
          <w:rFonts w:ascii="Times New Roman" w:hAnsi="Times New Roman" w:cs="Times New Roman"/>
          <w:color w:val="000000" w:themeColor="text1"/>
          <w:sz w:val="24"/>
          <w:szCs w:val="28"/>
          <w14:textFill>
            <w14:solidFill>
              <w14:schemeClr w14:val="tx1"/>
            </w14:solidFill>
          </w14:textFill>
        </w:rPr>
      </w:pPr>
      <w:r>
        <w:rPr>
          <w:rFonts w:hint="eastAsia" w:ascii="Times New Roman" w:hAnsi="Times New Roman" w:cs="Times New Roman"/>
          <w:color w:val="000000" w:themeColor="text1"/>
          <w:sz w:val="24"/>
          <w:szCs w:val="28"/>
          <w:lang w:val="en-US" w:eastAsia="zh-CN"/>
          <w14:textFill>
            <w14:solidFill>
              <w14:schemeClr w14:val="tx1"/>
            </w14:solidFill>
          </w14:textFill>
        </w:rPr>
        <w:t>2020-2021</w:t>
      </w:r>
      <w:r>
        <w:rPr>
          <w:rFonts w:hint="eastAsia" w:ascii="Times New Roman" w:hAnsi="Times New Roman" w:cs="Times New Roman"/>
          <w:color w:val="000000" w:themeColor="text1"/>
          <w:sz w:val="24"/>
          <w:szCs w:val="28"/>
          <w14:textFill>
            <w14:solidFill>
              <w14:schemeClr w14:val="tx1"/>
            </w14:solidFill>
          </w14:textFill>
        </w:rPr>
        <w:t>学年，专任教师中</w:t>
      </w:r>
      <w:r>
        <w:rPr>
          <w:rFonts w:ascii="Times New Roman" w:hAnsi="Times New Roman" w:cs="Times New Roman"/>
          <w:color w:val="000000" w:themeColor="text1"/>
          <w:sz w:val="24"/>
          <w:szCs w:val="28"/>
          <w14:textFill>
            <w14:solidFill>
              <w14:schemeClr w14:val="tx1"/>
            </w14:solidFill>
          </w14:textFill>
        </w:rPr>
        <w:t>具有高级职称的教师</w:t>
      </w:r>
      <w:r>
        <w:rPr>
          <w:rFonts w:hint="eastAsia" w:ascii="Times New Roman" w:hAnsi="Times New Roman" w:cs="Times New Roman"/>
          <w:color w:val="000000" w:themeColor="text1"/>
          <w:sz w:val="24"/>
          <w:szCs w:val="28"/>
          <w:lang w:val="en-US" w:eastAsia="zh-CN"/>
          <w14:textFill>
            <w14:solidFill>
              <w14:schemeClr w14:val="tx1"/>
            </w14:solidFill>
          </w14:textFill>
        </w:rPr>
        <w:t>19</w:t>
      </w:r>
      <w:r>
        <w:rPr>
          <w:rFonts w:hint="eastAsia" w:ascii="Times New Roman" w:hAnsi="Times New Roman" w:cs="Times New Roman"/>
          <w:color w:val="000000" w:themeColor="text1"/>
          <w:sz w:val="24"/>
          <w:szCs w:val="28"/>
          <w14:textFill>
            <w14:solidFill>
              <w14:schemeClr w14:val="tx1"/>
            </w14:solidFill>
          </w14:textFill>
        </w:rPr>
        <w:t>人，</w:t>
      </w:r>
      <w:r>
        <w:rPr>
          <w:rFonts w:ascii="Times New Roman" w:hAnsi="Times New Roman" w:cs="Times New Roman"/>
          <w:color w:val="000000" w:themeColor="text1"/>
          <w:sz w:val="24"/>
          <w:szCs w:val="28"/>
          <w14:textFill>
            <w14:solidFill>
              <w14:schemeClr w14:val="tx1"/>
            </w14:solidFill>
          </w14:textFill>
        </w:rPr>
        <w:t>占</w:t>
      </w:r>
      <w:r>
        <w:rPr>
          <w:rFonts w:hint="eastAsia" w:ascii="Times New Roman" w:hAnsi="Times New Roman" w:cs="Times New Roman"/>
          <w:color w:val="000000" w:themeColor="text1"/>
          <w:sz w:val="24"/>
          <w:szCs w:val="28"/>
          <w14:textFill>
            <w14:solidFill>
              <w14:schemeClr w14:val="tx1"/>
            </w14:solidFill>
          </w14:textFill>
        </w:rPr>
        <w:t>比</w:t>
      </w:r>
      <w:r>
        <w:rPr>
          <w:rFonts w:hint="eastAsia" w:ascii="Times New Roman" w:hAnsi="Times New Roman" w:cs="Times New Roman"/>
          <w:color w:val="000000" w:themeColor="text1"/>
          <w:sz w:val="24"/>
          <w:szCs w:val="28"/>
          <w:lang w:val="en-US" w:eastAsia="zh-CN"/>
          <w14:textFill>
            <w14:solidFill>
              <w14:schemeClr w14:val="tx1"/>
            </w14:solidFill>
          </w14:textFill>
        </w:rPr>
        <w:t>23.46</w:t>
      </w:r>
      <w:r>
        <w:rPr>
          <w:rFonts w:ascii="Times New Roman" w:hAnsi="Times New Roman" w:cs="Times New Roman"/>
          <w:color w:val="000000" w:themeColor="text1"/>
          <w:sz w:val="24"/>
          <w:szCs w:val="28"/>
          <w14:textFill>
            <w14:solidFill>
              <w14:schemeClr w14:val="tx1"/>
            </w14:solidFill>
          </w14:textFill>
        </w:rPr>
        <w:t>%</w:t>
      </w:r>
      <w:r>
        <w:rPr>
          <w:rFonts w:hint="eastAsia" w:ascii="Times New Roman" w:hAnsi="Times New Roman" w:cs="Times New Roman"/>
          <w:color w:val="000000" w:themeColor="text1"/>
          <w:sz w:val="24"/>
          <w:szCs w:val="28"/>
          <w14:textFill>
            <w14:solidFill>
              <w14:schemeClr w14:val="tx1"/>
            </w14:solidFill>
          </w14:textFill>
        </w:rPr>
        <w:t>；具有</w:t>
      </w:r>
      <w:r>
        <w:rPr>
          <w:rFonts w:ascii="Times New Roman" w:hAnsi="Times New Roman" w:cs="Times New Roman"/>
          <w:color w:val="000000" w:themeColor="text1"/>
          <w:sz w:val="24"/>
          <w:szCs w:val="28"/>
          <w14:textFill>
            <w14:solidFill>
              <w14:schemeClr w14:val="tx1"/>
            </w14:solidFill>
          </w14:textFill>
        </w:rPr>
        <w:t>中级职称的教师</w:t>
      </w:r>
      <w:r>
        <w:rPr>
          <w:rFonts w:hint="eastAsia" w:ascii="Times New Roman" w:hAnsi="Times New Roman" w:cs="Times New Roman"/>
          <w:color w:val="000000" w:themeColor="text1"/>
          <w:sz w:val="24"/>
          <w:szCs w:val="28"/>
          <w:lang w:val="en-US" w:eastAsia="zh-CN"/>
          <w14:textFill>
            <w14:solidFill>
              <w14:schemeClr w14:val="tx1"/>
            </w14:solidFill>
          </w14:textFill>
        </w:rPr>
        <w:t>23</w:t>
      </w:r>
      <w:r>
        <w:rPr>
          <w:rFonts w:hint="eastAsia" w:ascii="Times New Roman" w:hAnsi="Times New Roman" w:cs="Times New Roman"/>
          <w:color w:val="000000" w:themeColor="text1"/>
          <w:sz w:val="24"/>
          <w:szCs w:val="28"/>
          <w14:textFill>
            <w14:solidFill>
              <w14:schemeClr w14:val="tx1"/>
            </w14:solidFill>
          </w14:textFill>
        </w:rPr>
        <w:t>人，</w:t>
      </w:r>
      <w:r>
        <w:rPr>
          <w:rFonts w:ascii="Times New Roman" w:hAnsi="Times New Roman" w:cs="Times New Roman"/>
          <w:color w:val="000000" w:themeColor="text1"/>
          <w:sz w:val="24"/>
          <w:szCs w:val="28"/>
          <w14:textFill>
            <w14:solidFill>
              <w14:schemeClr w14:val="tx1"/>
            </w14:solidFill>
          </w14:textFill>
        </w:rPr>
        <w:t>占</w:t>
      </w:r>
      <w:r>
        <w:rPr>
          <w:rFonts w:hint="eastAsia" w:ascii="Times New Roman" w:hAnsi="Times New Roman" w:cs="Times New Roman"/>
          <w:color w:val="000000" w:themeColor="text1"/>
          <w:sz w:val="24"/>
          <w:szCs w:val="28"/>
          <w14:textFill>
            <w14:solidFill>
              <w14:schemeClr w14:val="tx1"/>
            </w14:solidFill>
          </w14:textFill>
        </w:rPr>
        <w:t>比</w:t>
      </w:r>
      <w:r>
        <w:rPr>
          <w:rFonts w:hint="eastAsia" w:ascii="Times New Roman" w:hAnsi="Times New Roman" w:cs="Times New Roman"/>
          <w:color w:val="000000" w:themeColor="text1"/>
          <w:sz w:val="24"/>
          <w:szCs w:val="28"/>
          <w:lang w:val="en-US" w:eastAsia="zh-CN"/>
          <w14:textFill>
            <w14:solidFill>
              <w14:schemeClr w14:val="tx1"/>
            </w14:solidFill>
          </w14:textFill>
        </w:rPr>
        <w:t>28.40</w:t>
      </w:r>
      <w:r>
        <w:rPr>
          <w:rFonts w:ascii="Times New Roman" w:hAnsi="Times New Roman" w:cs="Times New Roman"/>
          <w:color w:val="000000" w:themeColor="text1"/>
          <w:sz w:val="24"/>
          <w:szCs w:val="28"/>
          <w14:textFill>
            <w14:solidFill>
              <w14:schemeClr w14:val="tx1"/>
            </w14:solidFill>
          </w14:textFill>
        </w:rPr>
        <w:t>%</w:t>
      </w:r>
      <w:r>
        <w:rPr>
          <w:rFonts w:hint="eastAsia" w:ascii="Times New Roman" w:hAnsi="Times New Roman" w:cs="Times New Roman"/>
          <w:color w:val="000000" w:themeColor="text1"/>
          <w:sz w:val="24"/>
          <w:szCs w:val="28"/>
          <w14:textFill>
            <w14:solidFill>
              <w14:schemeClr w14:val="tx1"/>
            </w14:solidFill>
          </w14:textFill>
        </w:rPr>
        <w:t>；具有</w:t>
      </w:r>
      <w:r>
        <w:rPr>
          <w:rFonts w:ascii="Times New Roman" w:hAnsi="Times New Roman" w:cs="Times New Roman"/>
          <w:color w:val="000000" w:themeColor="text1"/>
          <w:sz w:val="24"/>
          <w:szCs w:val="28"/>
          <w14:textFill>
            <w14:solidFill>
              <w14:schemeClr w14:val="tx1"/>
            </w14:solidFill>
          </w14:textFill>
        </w:rPr>
        <w:t>初级职称的教师</w:t>
      </w:r>
      <w:r>
        <w:rPr>
          <w:rFonts w:hint="eastAsia" w:ascii="Times New Roman" w:hAnsi="Times New Roman" w:cs="Times New Roman"/>
          <w:color w:val="000000" w:themeColor="text1"/>
          <w:sz w:val="24"/>
          <w:szCs w:val="28"/>
          <w:lang w:val="en-US" w:eastAsia="zh-CN"/>
          <w14:textFill>
            <w14:solidFill>
              <w14:schemeClr w14:val="tx1"/>
            </w14:solidFill>
          </w14:textFill>
        </w:rPr>
        <w:t>38</w:t>
      </w:r>
      <w:r>
        <w:rPr>
          <w:rFonts w:hint="eastAsia" w:ascii="Times New Roman" w:hAnsi="Times New Roman" w:cs="Times New Roman"/>
          <w:color w:val="000000" w:themeColor="text1"/>
          <w:sz w:val="24"/>
          <w:szCs w:val="28"/>
          <w14:textFill>
            <w14:solidFill>
              <w14:schemeClr w14:val="tx1"/>
            </w14:solidFill>
          </w14:textFill>
        </w:rPr>
        <w:t>人，</w:t>
      </w:r>
      <w:r>
        <w:rPr>
          <w:rFonts w:ascii="Times New Roman" w:hAnsi="Times New Roman" w:cs="Times New Roman"/>
          <w:color w:val="000000" w:themeColor="text1"/>
          <w:sz w:val="24"/>
          <w:szCs w:val="28"/>
          <w14:textFill>
            <w14:solidFill>
              <w14:schemeClr w14:val="tx1"/>
            </w14:solidFill>
          </w14:textFill>
        </w:rPr>
        <w:t>占</w:t>
      </w:r>
      <w:r>
        <w:rPr>
          <w:rFonts w:hint="eastAsia" w:ascii="Times New Roman" w:hAnsi="Times New Roman" w:cs="Times New Roman"/>
          <w:color w:val="000000" w:themeColor="text1"/>
          <w:sz w:val="24"/>
          <w:szCs w:val="28"/>
          <w14:textFill>
            <w14:solidFill>
              <w14:schemeClr w14:val="tx1"/>
            </w14:solidFill>
          </w14:textFill>
        </w:rPr>
        <w:t>比</w:t>
      </w:r>
      <w:r>
        <w:rPr>
          <w:rFonts w:hint="eastAsia" w:ascii="Times New Roman" w:hAnsi="Times New Roman" w:cs="Times New Roman"/>
          <w:color w:val="000000" w:themeColor="text1"/>
          <w:sz w:val="24"/>
          <w:szCs w:val="28"/>
          <w:lang w:val="en-US" w:eastAsia="zh-CN"/>
          <w14:textFill>
            <w14:solidFill>
              <w14:schemeClr w14:val="tx1"/>
            </w14:solidFill>
          </w14:textFill>
        </w:rPr>
        <w:t>46.91</w:t>
      </w:r>
      <w:r>
        <w:rPr>
          <w:rFonts w:ascii="Times New Roman" w:hAnsi="Times New Roman" w:cs="Times New Roman"/>
          <w:color w:val="000000" w:themeColor="text1"/>
          <w:sz w:val="24"/>
          <w:szCs w:val="28"/>
          <w14:textFill>
            <w14:solidFill>
              <w14:schemeClr w14:val="tx1"/>
            </w14:solidFill>
          </w14:textFill>
        </w:rPr>
        <w:t>%</w:t>
      </w:r>
      <w:r>
        <w:rPr>
          <w:rFonts w:hint="eastAsia" w:ascii="Times New Roman" w:hAnsi="Times New Roman" w:cs="Times New Roman"/>
          <w:color w:val="000000" w:themeColor="text1"/>
          <w:sz w:val="24"/>
          <w:szCs w:val="28"/>
          <w14:textFill>
            <w14:solidFill>
              <w14:schemeClr w14:val="tx1"/>
            </w14:solidFill>
          </w14:textFill>
        </w:rPr>
        <w:t>；未评职称的教师44人，</w:t>
      </w:r>
      <w:r>
        <w:rPr>
          <w:rFonts w:ascii="Times New Roman" w:hAnsi="Times New Roman" w:cs="Times New Roman"/>
          <w:color w:val="000000" w:themeColor="text1"/>
          <w:sz w:val="24"/>
          <w:szCs w:val="28"/>
          <w14:textFill>
            <w14:solidFill>
              <w14:schemeClr w14:val="tx1"/>
            </w14:solidFill>
          </w14:textFill>
        </w:rPr>
        <w:t>占</w:t>
      </w:r>
      <w:r>
        <w:rPr>
          <w:rFonts w:hint="eastAsia" w:ascii="Times New Roman" w:hAnsi="Times New Roman" w:cs="Times New Roman"/>
          <w:color w:val="000000" w:themeColor="text1"/>
          <w:sz w:val="24"/>
          <w:szCs w:val="28"/>
          <w14:textFill>
            <w14:solidFill>
              <w14:schemeClr w14:val="tx1"/>
            </w14:solidFill>
          </w14:textFill>
        </w:rPr>
        <w:t>比</w:t>
      </w:r>
      <w:r>
        <w:rPr>
          <w:rFonts w:ascii="Times New Roman" w:hAnsi="Times New Roman" w:cs="Times New Roman"/>
          <w:color w:val="000000" w:themeColor="text1"/>
          <w:sz w:val="24"/>
          <w:szCs w:val="28"/>
          <w14:textFill>
            <w14:solidFill>
              <w14:schemeClr w14:val="tx1"/>
            </w14:solidFill>
          </w14:textFill>
        </w:rPr>
        <w:t>36.98%。</w:t>
      </w:r>
      <w:r>
        <w:rPr>
          <w:rFonts w:hint="eastAsia" w:ascii="Times New Roman" w:hAnsi="Times New Roman" w:cs="Times New Roman"/>
          <w:color w:val="000000" w:themeColor="text1"/>
          <w:sz w:val="24"/>
          <w:szCs w:val="28"/>
          <w14:textFill>
            <w14:solidFill>
              <w14:schemeClr w14:val="tx1"/>
            </w14:solidFill>
          </w14:textFill>
        </w:rPr>
        <w:t>专任教师职称结构统计见表1-5。</w:t>
      </w:r>
      <w:r>
        <w:rPr>
          <w:rFonts w:ascii="Times New Roman" w:hAnsi="Times New Roman" w:cs="Times New Roman"/>
          <w:color w:val="000000" w:themeColor="text1"/>
          <w:sz w:val="24"/>
          <w:szCs w:val="28"/>
          <w14:textFill>
            <w14:solidFill>
              <w14:schemeClr w14:val="tx1"/>
            </w14:solidFill>
          </w14:textFill>
        </w:rPr>
        <w:t>专任教师职称结构见图1-</w:t>
      </w:r>
      <w:r>
        <w:rPr>
          <w:rFonts w:hint="eastAsia" w:ascii="Times New Roman" w:hAnsi="Times New Roman" w:cs="Times New Roman"/>
          <w:color w:val="000000" w:themeColor="text1"/>
          <w:sz w:val="24"/>
          <w:szCs w:val="28"/>
          <w14:textFill>
            <w14:solidFill>
              <w14:schemeClr w14:val="tx1"/>
            </w14:solidFill>
          </w14:textFill>
        </w:rPr>
        <w:t>4</w:t>
      </w:r>
      <w:r>
        <w:rPr>
          <w:rFonts w:ascii="Times New Roman" w:hAnsi="Times New Roman" w:cs="Times New Roman"/>
          <w:color w:val="000000" w:themeColor="text1"/>
          <w:sz w:val="24"/>
          <w:szCs w:val="28"/>
          <w14:textFill>
            <w14:solidFill>
              <w14:schemeClr w14:val="tx1"/>
            </w14:solidFill>
          </w14:textFill>
        </w:rPr>
        <w:t>。</w:t>
      </w:r>
    </w:p>
    <w:p>
      <w:pPr>
        <w:rPr>
          <w:rFonts w:ascii="Times New Roman" w:hAnsi="Times New Roman" w:cs="Times New Roman"/>
          <w:color w:val="000000" w:themeColor="text1"/>
          <w:sz w:val="24"/>
          <w:szCs w:val="28"/>
          <w14:textFill>
            <w14:solidFill>
              <w14:schemeClr w14:val="tx1"/>
            </w14:solidFill>
          </w14:textFill>
        </w:rPr>
      </w:pPr>
      <w:r>
        <w:rPr>
          <w:rFonts w:ascii="Times New Roman" w:hAnsi="Times New Roman" w:cs="Times New Roman"/>
          <w:color w:val="000000" w:themeColor="text1"/>
          <w:sz w:val="24"/>
          <w:szCs w:val="28"/>
          <w14:textFill>
            <w14:solidFill>
              <w14:schemeClr w14:val="tx1"/>
            </w14:solidFill>
          </w14:textFill>
        </w:rPr>
        <w:br w:type="page"/>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表1-</w:t>
      </w:r>
      <w:r>
        <w:rPr>
          <w:rFonts w:hint="eastAsia" w:ascii="Times New Roman" w:hAnsi="Times New Roman" w:cs="Times New Roman"/>
          <w:b/>
          <w:color w:val="000000" w:themeColor="text1"/>
          <w:kern w:val="2"/>
          <w:sz w:val="21"/>
          <w:szCs w:val="21"/>
          <w14:textFill>
            <w14:solidFill>
              <w14:schemeClr w14:val="tx1"/>
            </w14:solidFill>
          </w14:textFill>
        </w:rPr>
        <w:t>5</w:t>
      </w:r>
      <w:r>
        <w:rPr>
          <w:rFonts w:ascii="Times New Roman" w:hAnsi="Times New Roman" w:cs="Times New Roman"/>
          <w:b/>
          <w:color w:val="000000" w:themeColor="text1"/>
          <w:kern w:val="2"/>
          <w:sz w:val="21"/>
          <w:szCs w:val="21"/>
          <w14:textFill>
            <w14:solidFill>
              <w14:schemeClr w14:val="tx1"/>
            </w14:solidFill>
          </w14:textFill>
        </w:rPr>
        <w:t xml:space="preserve">  </w:t>
      </w:r>
      <w:r>
        <w:rPr>
          <w:rFonts w:hint="eastAsia" w:ascii="Times New Roman" w:hAnsi="Times New Roman" w:cs="Times New Roman"/>
          <w:b/>
          <w:color w:val="000000" w:themeColor="text1"/>
          <w:kern w:val="2"/>
          <w:sz w:val="21"/>
          <w:szCs w:val="21"/>
          <w14:textFill>
            <w14:solidFill>
              <w14:schemeClr w14:val="tx1"/>
            </w14:solidFill>
          </w14:textFill>
        </w:rPr>
        <w:t>专任教师学历</w:t>
      </w:r>
      <w:r>
        <w:rPr>
          <w:rFonts w:ascii="Times New Roman" w:hAnsi="Times New Roman" w:cs="Times New Roman"/>
          <w:b/>
          <w:color w:val="000000" w:themeColor="text1"/>
          <w:kern w:val="2"/>
          <w:sz w:val="21"/>
          <w:szCs w:val="21"/>
          <w14:textFill>
            <w14:solidFill>
              <w14:schemeClr w14:val="tx1"/>
            </w14:solidFill>
          </w14:textFill>
        </w:rPr>
        <w:t>结构</w:t>
      </w:r>
      <w:r>
        <w:rPr>
          <w:rFonts w:hint="eastAsia" w:ascii="Times New Roman" w:hAnsi="Times New Roman" w:cs="Times New Roman"/>
          <w:b/>
          <w:color w:val="000000" w:themeColor="text1"/>
          <w:kern w:val="2"/>
          <w:sz w:val="21"/>
          <w:szCs w:val="21"/>
          <w14:textFill>
            <w14:solidFill>
              <w14:schemeClr w14:val="tx1"/>
            </w14:solidFill>
          </w14:textFill>
        </w:rPr>
        <w:t>统计</w:t>
      </w:r>
    </w:p>
    <w:tbl>
      <w:tblPr>
        <w:tblStyle w:val="17"/>
        <w:tblW w:w="8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9"/>
        <w:gridCol w:w="851"/>
        <w:gridCol w:w="567"/>
        <w:gridCol w:w="917"/>
        <w:gridCol w:w="642"/>
        <w:gridCol w:w="973"/>
        <w:gridCol w:w="586"/>
        <w:gridCol w:w="959"/>
        <w:gridCol w:w="672"/>
        <w:gridCol w:w="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blHeader/>
          <w:jc w:val="center"/>
        </w:trPr>
        <w:tc>
          <w:tcPr>
            <w:tcW w:w="1129" w:type="dxa"/>
            <w:vMerge w:val="restart"/>
            <w:shd w:val="clear" w:color="auto" w:fill="C6D9F0" w:themeFill="text2" w:themeFillTint="33"/>
            <w:vAlign w:val="center"/>
          </w:tcPr>
          <w:p>
            <w:pPr>
              <w:widowControl/>
              <w:jc w:val="center"/>
              <w:rPr>
                <w:rFonts w:ascii="Times New Roman" w:hAnsi="Times New Roman"/>
                <w:b/>
                <w:color w:val="000000"/>
                <w:kern w:val="0"/>
                <w:szCs w:val="21"/>
              </w:rPr>
            </w:pPr>
            <w:r>
              <w:rPr>
                <w:rFonts w:ascii="Times New Roman" w:hAnsi="Times New Roman"/>
                <w:b/>
                <w:color w:val="000000"/>
                <w:kern w:val="0"/>
                <w:szCs w:val="21"/>
              </w:rPr>
              <w:t>学年</w:t>
            </w:r>
          </w:p>
        </w:tc>
        <w:tc>
          <w:tcPr>
            <w:tcW w:w="851" w:type="dxa"/>
            <w:vMerge w:val="restart"/>
            <w:shd w:val="clear" w:color="auto" w:fill="C6D9F0" w:themeFill="text2" w:themeFillTint="33"/>
            <w:vAlign w:val="center"/>
          </w:tcPr>
          <w:p>
            <w:pPr>
              <w:widowControl/>
              <w:jc w:val="center"/>
              <w:rPr>
                <w:rFonts w:ascii="Times New Roman" w:hAnsi="Times New Roman"/>
                <w:b/>
                <w:color w:val="000000"/>
                <w:kern w:val="0"/>
                <w:szCs w:val="21"/>
              </w:rPr>
            </w:pPr>
            <w:r>
              <w:rPr>
                <w:rFonts w:ascii="Times New Roman" w:hAnsi="Times New Roman"/>
                <w:b/>
                <w:color w:val="000000"/>
                <w:kern w:val="0"/>
                <w:szCs w:val="21"/>
              </w:rPr>
              <w:t>专任教师总数</w:t>
            </w:r>
          </w:p>
        </w:tc>
        <w:tc>
          <w:tcPr>
            <w:tcW w:w="1484" w:type="dxa"/>
            <w:gridSpan w:val="2"/>
            <w:shd w:val="clear" w:color="auto" w:fill="C6D9F0" w:themeFill="text2" w:themeFillTint="33"/>
            <w:vAlign w:val="center"/>
          </w:tcPr>
          <w:p>
            <w:pPr>
              <w:widowControl/>
              <w:spacing w:before="100" w:beforeAutospacing="1" w:after="100" w:afterAutospacing="1"/>
              <w:jc w:val="center"/>
              <w:rPr>
                <w:rFonts w:ascii="Times New Roman" w:hAnsi="Times New Roman"/>
                <w:b/>
                <w:color w:val="000000"/>
                <w:kern w:val="0"/>
                <w:szCs w:val="21"/>
              </w:rPr>
            </w:pPr>
            <w:r>
              <w:rPr>
                <w:rFonts w:hint="eastAsia" w:ascii="Times New Roman" w:hAnsi="Times New Roman"/>
                <w:b/>
                <w:color w:val="000000"/>
                <w:kern w:val="0"/>
                <w:szCs w:val="21"/>
              </w:rPr>
              <w:t>副高及以上</w:t>
            </w:r>
          </w:p>
        </w:tc>
        <w:tc>
          <w:tcPr>
            <w:tcW w:w="1615" w:type="dxa"/>
            <w:gridSpan w:val="2"/>
            <w:shd w:val="clear" w:color="auto" w:fill="C6D9F0" w:themeFill="text2" w:themeFillTint="33"/>
            <w:vAlign w:val="center"/>
          </w:tcPr>
          <w:p>
            <w:pPr>
              <w:widowControl/>
              <w:spacing w:before="100" w:beforeAutospacing="1" w:after="100" w:afterAutospacing="1"/>
              <w:jc w:val="center"/>
              <w:rPr>
                <w:rFonts w:ascii="Times New Roman" w:hAnsi="Times New Roman"/>
                <w:b/>
                <w:color w:val="000000"/>
                <w:kern w:val="0"/>
                <w:szCs w:val="21"/>
              </w:rPr>
            </w:pPr>
            <w:r>
              <w:rPr>
                <w:rFonts w:hint="eastAsia" w:ascii="Times New Roman" w:hAnsi="Times New Roman"/>
                <w:b/>
                <w:color w:val="000000"/>
                <w:kern w:val="0"/>
                <w:szCs w:val="21"/>
              </w:rPr>
              <w:t>中级</w:t>
            </w:r>
          </w:p>
        </w:tc>
        <w:tc>
          <w:tcPr>
            <w:tcW w:w="1545" w:type="dxa"/>
            <w:gridSpan w:val="2"/>
            <w:shd w:val="clear" w:color="auto" w:fill="C6D9F0" w:themeFill="text2" w:themeFillTint="33"/>
            <w:vAlign w:val="center"/>
          </w:tcPr>
          <w:p>
            <w:pPr>
              <w:widowControl/>
              <w:jc w:val="center"/>
              <w:rPr>
                <w:rFonts w:ascii="Times New Roman" w:hAnsi="Times New Roman"/>
                <w:b/>
                <w:color w:val="000000"/>
                <w:kern w:val="0"/>
                <w:szCs w:val="21"/>
              </w:rPr>
            </w:pPr>
            <w:r>
              <w:rPr>
                <w:rFonts w:hint="eastAsia" w:ascii="Times New Roman" w:hAnsi="Times New Roman"/>
                <w:b/>
                <w:color w:val="000000"/>
                <w:kern w:val="0"/>
                <w:szCs w:val="21"/>
              </w:rPr>
              <w:t>初级</w:t>
            </w:r>
          </w:p>
        </w:tc>
        <w:tc>
          <w:tcPr>
            <w:tcW w:w="1654" w:type="dxa"/>
            <w:gridSpan w:val="2"/>
            <w:shd w:val="clear" w:color="auto" w:fill="C6D9F0" w:themeFill="text2" w:themeFillTint="33"/>
            <w:vAlign w:val="center"/>
          </w:tcPr>
          <w:p>
            <w:pPr>
              <w:widowControl/>
              <w:jc w:val="center"/>
              <w:rPr>
                <w:rFonts w:ascii="Times New Roman" w:hAnsi="Times New Roman"/>
                <w:b/>
                <w:color w:val="000000"/>
                <w:kern w:val="0"/>
                <w:szCs w:val="21"/>
              </w:rPr>
            </w:pPr>
            <w:r>
              <w:rPr>
                <w:rFonts w:hint="eastAsia" w:ascii="Times New Roman" w:hAnsi="Times New Roman"/>
                <w:b/>
                <w:color w:val="000000"/>
                <w:kern w:val="0"/>
                <w:szCs w:val="21"/>
              </w:rPr>
              <w:t>未评职称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129" w:type="dxa"/>
            <w:vMerge w:val="continue"/>
            <w:shd w:val="clear" w:color="auto" w:fill="C6D9F0" w:themeFill="text2" w:themeFillTint="33"/>
            <w:vAlign w:val="center"/>
          </w:tcPr>
          <w:p>
            <w:pPr>
              <w:widowControl/>
              <w:jc w:val="center"/>
              <w:rPr>
                <w:rFonts w:ascii="Times New Roman" w:hAnsi="Times New Roman"/>
                <w:b/>
                <w:color w:val="000000"/>
                <w:kern w:val="0"/>
                <w:szCs w:val="21"/>
              </w:rPr>
            </w:pPr>
          </w:p>
        </w:tc>
        <w:tc>
          <w:tcPr>
            <w:tcW w:w="851" w:type="dxa"/>
            <w:vMerge w:val="continue"/>
            <w:shd w:val="clear" w:color="auto" w:fill="C6D9F0" w:themeFill="text2" w:themeFillTint="33"/>
            <w:vAlign w:val="center"/>
          </w:tcPr>
          <w:p>
            <w:pPr>
              <w:widowControl/>
              <w:jc w:val="center"/>
              <w:rPr>
                <w:rFonts w:ascii="Times New Roman" w:hAnsi="Times New Roman"/>
                <w:b/>
                <w:color w:val="000000"/>
                <w:kern w:val="0"/>
                <w:szCs w:val="21"/>
              </w:rPr>
            </w:pPr>
          </w:p>
        </w:tc>
        <w:tc>
          <w:tcPr>
            <w:tcW w:w="567" w:type="dxa"/>
            <w:shd w:val="clear" w:color="auto" w:fill="C6D9F0" w:themeFill="text2" w:themeFillTint="33"/>
            <w:vAlign w:val="center"/>
          </w:tcPr>
          <w:p>
            <w:pPr>
              <w:widowControl/>
              <w:jc w:val="center"/>
              <w:rPr>
                <w:rFonts w:ascii="Times New Roman" w:hAnsi="Times New Roman"/>
                <w:b/>
                <w:color w:val="000000"/>
                <w:kern w:val="0"/>
                <w:szCs w:val="21"/>
              </w:rPr>
            </w:pPr>
            <w:r>
              <w:rPr>
                <w:rFonts w:hint="eastAsia" w:ascii="Times New Roman" w:hAnsi="Times New Roman"/>
                <w:b/>
                <w:color w:val="000000"/>
                <w:kern w:val="0"/>
                <w:szCs w:val="21"/>
              </w:rPr>
              <w:t>人数</w:t>
            </w:r>
          </w:p>
        </w:tc>
        <w:tc>
          <w:tcPr>
            <w:tcW w:w="917" w:type="dxa"/>
            <w:shd w:val="clear" w:color="auto" w:fill="C6D9F0" w:themeFill="text2" w:themeFillTint="33"/>
            <w:vAlign w:val="center"/>
          </w:tcPr>
          <w:p>
            <w:pPr>
              <w:widowControl/>
              <w:rPr>
                <w:rFonts w:ascii="Times New Roman" w:hAnsi="Times New Roman"/>
                <w:b/>
                <w:color w:val="000000"/>
                <w:kern w:val="0"/>
                <w:szCs w:val="21"/>
              </w:rPr>
            </w:pPr>
            <w:r>
              <w:rPr>
                <w:rFonts w:ascii="Times New Roman" w:hAnsi="Times New Roman"/>
                <w:b/>
                <w:color w:val="000000"/>
                <w:kern w:val="0"/>
                <w:szCs w:val="21"/>
              </w:rPr>
              <w:t>占比</w:t>
            </w:r>
          </w:p>
          <w:p>
            <w:pPr>
              <w:widowControl/>
              <w:rPr>
                <w:rFonts w:ascii="Times New Roman" w:hAnsi="Times New Roman"/>
                <w:b/>
                <w:color w:val="000000"/>
                <w:kern w:val="0"/>
                <w:szCs w:val="21"/>
              </w:rPr>
            </w:pPr>
            <w:r>
              <w:rPr>
                <w:rFonts w:hint="eastAsia" w:ascii="Times New Roman" w:hAnsi="Times New Roman"/>
                <w:b/>
                <w:color w:val="000000"/>
                <w:kern w:val="0"/>
                <w:szCs w:val="21"/>
              </w:rPr>
              <w:t>（</w:t>
            </w:r>
            <w:r>
              <w:rPr>
                <w:rFonts w:ascii="Times New Roman" w:hAnsi="Times New Roman"/>
                <w:b/>
                <w:color w:val="000000"/>
                <w:kern w:val="0"/>
                <w:szCs w:val="21"/>
              </w:rPr>
              <w:t>%</w:t>
            </w:r>
            <w:r>
              <w:rPr>
                <w:rFonts w:hint="eastAsia" w:ascii="Times New Roman" w:hAnsi="Times New Roman"/>
                <w:b/>
                <w:color w:val="000000"/>
                <w:kern w:val="0"/>
                <w:szCs w:val="21"/>
              </w:rPr>
              <w:t>）</w:t>
            </w:r>
          </w:p>
        </w:tc>
        <w:tc>
          <w:tcPr>
            <w:tcW w:w="642" w:type="dxa"/>
            <w:shd w:val="clear" w:color="auto" w:fill="C6D9F0" w:themeFill="text2" w:themeFillTint="33"/>
            <w:vAlign w:val="center"/>
          </w:tcPr>
          <w:p>
            <w:pPr>
              <w:widowControl/>
              <w:jc w:val="center"/>
              <w:rPr>
                <w:rFonts w:ascii="Times New Roman" w:hAnsi="Times New Roman"/>
                <w:b/>
                <w:color w:val="000000"/>
                <w:kern w:val="0"/>
                <w:szCs w:val="21"/>
              </w:rPr>
            </w:pPr>
            <w:r>
              <w:rPr>
                <w:rFonts w:hint="eastAsia" w:ascii="Times New Roman" w:hAnsi="Times New Roman"/>
                <w:b/>
                <w:color w:val="000000"/>
                <w:kern w:val="0"/>
                <w:szCs w:val="21"/>
              </w:rPr>
              <w:t>人数</w:t>
            </w:r>
          </w:p>
        </w:tc>
        <w:tc>
          <w:tcPr>
            <w:tcW w:w="973" w:type="dxa"/>
            <w:shd w:val="clear" w:color="auto" w:fill="C6D9F0" w:themeFill="text2" w:themeFillTint="33"/>
            <w:vAlign w:val="center"/>
          </w:tcPr>
          <w:p>
            <w:pPr>
              <w:widowControl/>
              <w:jc w:val="center"/>
              <w:rPr>
                <w:rFonts w:ascii="Times New Roman" w:hAnsi="Times New Roman"/>
                <w:b/>
                <w:color w:val="000000"/>
                <w:kern w:val="0"/>
                <w:szCs w:val="21"/>
              </w:rPr>
            </w:pPr>
            <w:r>
              <w:rPr>
                <w:rFonts w:ascii="Times New Roman" w:hAnsi="Times New Roman"/>
                <w:b/>
                <w:color w:val="000000"/>
                <w:kern w:val="0"/>
                <w:szCs w:val="21"/>
              </w:rPr>
              <w:t>占比</w:t>
            </w:r>
          </w:p>
          <w:p>
            <w:pPr>
              <w:widowControl/>
              <w:jc w:val="center"/>
              <w:rPr>
                <w:rFonts w:ascii="Times New Roman" w:hAnsi="Times New Roman"/>
                <w:b/>
                <w:color w:val="000000"/>
                <w:kern w:val="0"/>
                <w:szCs w:val="21"/>
              </w:rPr>
            </w:pPr>
            <w:r>
              <w:rPr>
                <w:rFonts w:hint="eastAsia" w:ascii="Times New Roman" w:hAnsi="Times New Roman"/>
                <w:b/>
                <w:color w:val="000000"/>
                <w:kern w:val="0"/>
                <w:szCs w:val="21"/>
              </w:rPr>
              <w:t>（</w:t>
            </w:r>
            <w:r>
              <w:rPr>
                <w:rFonts w:ascii="Times New Roman" w:hAnsi="Times New Roman"/>
                <w:b/>
                <w:color w:val="000000"/>
                <w:kern w:val="0"/>
                <w:szCs w:val="21"/>
              </w:rPr>
              <w:t>%</w:t>
            </w:r>
            <w:r>
              <w:rPr>
                <w:rFonts w:hint="eastAsia" w:ascii="Times New Roman" w:hAnsi="Times New Roman"/>
                <w:b/>
                <w:color w:val="000000"/>
                <w:kern w:val="0"/>
                <w:szCs w:val="21"/>
              </w:rPr>
              <w:t>）</w:t>
            </w:r>
          </w:p>
        </w:tc>
        <w:tc>
          <w:tcPr>
            <w:tcW w:w="586" w:type="dxa"/>
            <w:shd w:val="clear" w:color="auto" w:fill="C6D9F0" w:themeFill="text2" w:themeFillTint="33"/>
            <w:vAlign w:val="center"/>
          </w:tcPr>
          <w:p>
            <w:pPr>
              <w:widowControl/>
              <w:jc w:val="center"/>
              <w:rPr>
                <w:rFonts w:ascii="Times New Roman" w:hAnsi="Times New Roman"/>
                <w:b/>
                <w:color w:val="000000"/>
                <w:kern w:val="0"/>
                <w:szCs w:val="21"/>
              </w:rPr>
            </w:pPr>
            <w:r>
              <w:rPr>
                <w:rFonts w:ascii="Times New Roman" w:hAnsi="Times New Roman"/>
                <w:b/>
                <w:color w:val="000000"/>
                <w:kern w:val="0"/>
                <w:szCs w:val="21"/>
              </w:rPr>
              <w:t>人数</w:t>
            </w:r>
          </w:p>
        </w:tc>
        <w:tc>
          <w:tcPr>
            <w:tcW w:w="959" w:type="dxa"/>
            <w:shd w:val="clear" w:color="auto" w:fill="C6D9F0" w:themeFill="text2" w:themeFillTint="33"/>
            <w:vAlign w:val="center"/>
          </w:tcPr>
          <w:p>
            <w:pPr>
              <w:widowControl/>
              <w:jc w:val="center"/>
              <w:rPr>
                <w:rFonts w:ascii="Times New Roman" w:hAnsi="Times New Roman"/>
                <w:b/>
                <w:color w:val="000000"/>
                <w:kern w:val="0"/>
                <w:szCs w:val="21"/>
              </w:rPr>
            </w:pPr>
            <w:r>
              <w:rPr>
                <w:rFonts w:ascii="Times New Roman" w:hAnsi="Times New Roman"/>
                <w:b/>
                <w:color w:val="000000"/>
                <w:kern w:val="0"/>
                <w:szCs w:val="21"/>
              </w:rPr>
              <w:t>占比</w:t>
            </w:r>
          </w:p>
          <w:p>
            <w:pPr>
              <w:widowControl/>
              <w:jc w:val="center"/>
              <w:rPr>
                <w:rFonts w:ascii="Times New Roman" w:hAnsi="Times New Roman"/>
                <w:b/>
                <w:color w:val="000000"/>
                <w:kern w:val="0"/>
                <w:szCs w:val="21"/>
              </w:rPr>
            </w:pPr>
            <w:r>
              <w:rPr>
                <w:rFonts w:hint="eastAsia" w:ascii="Times New Roman" w:hAnsi="Times New Roman"/>
                <w:b/>
                <w:color w:val="000000"/>
                <w:kern w:val="0"/>
                <w:szCs w:val="21"/>
              </w:rPr>
              <w:t>（</w:t>
            </w:r>
            <w:r>
              <w:rPr>
                <w:rFonts w:ascii="Times New Roman" w:hAnsi="Times New Roman"/>
                <w:b/>
                <w:color w:val="000000"/>
                <w:kern w:val="0"/>
                <w:szCs w:val="21"/>
              </w:rPr>
              <w:t>%</w:t>
            </w:r>
            <w:r>
              <w:rPr>
                <w:rFonts w:hint="eastAsia" w:ascii="Times New Roman" w:hAnsi="Times New Roman"/>
                <w:b/>
                <w:color w:val="000000"/>
                <w:kern w:val="0"/>
                <w:szCs w:val="21"/>
              </w:rPr>
              <w:t>）</w:t>
            </w:r>
          </w:p>
        </w:tc>
        <w:tc>
          <w:tcPr>
            <w:tcW w:w="672" w:type="dxa"/>
            <w:shd w:val="clear" w:color="auto" w:fill="C6D9F0" w:themeFill="text2" w:themeFillTint="33"/>
            <w:vAlign w:val="center"/>
          </w:tcPr>
          <w:p>
            <w:pPr>
              <w:widowControl/>
              <w:jc w:val="center"/>
              <w:rPr>
                <w:rFonts w:ascii="Times New Roman" w:hAnsi="Times New Roman"/>
                <w:b/>
                <w:color w:val="000000"/>
                <w:kern w:val="0"/>
                <w:szCs w:val="21"/>
              </w:rPr>
            </w:pPr>
            <w:r>
              <w:rPr>
                <w:rFonts w:ascii="Times New Roman" w:hAnsi="Times New Roman"/>
                <w:b/>
                <w:color w:val="000000"/>
                <w:kern w:val="0"/>
                <w:szCs w:val="21"/>
              </w:rPr>
              <w:t>人数</w:t>
            </w:r>
          </w:p>
        </w:tc>
        <w:tc>
          <w:tcPr>
            <w:tcW w:w="982" w:type="dxa"/>
            <w:shd w:val="clear" w:color="auto" w:fill="C6D9F0" w:themeFill="text2" w:themeFillTint="33"/>
            <w:vAlign w:val="center"/>
          </w:tcPr>
          <w:p>
            <w:pPr>
              <w:widowControl/>
              <w:jc w:val="center"/>
              <w:rPr>
                <w:rFonts w:ascii="Times New Roman" w:hAnsi="Times New Roman"/>
                <w:b/>
                <w:color w:val="000000"/>
                <w:kern w:val="0"/>
                <w:szCs w:val="21"/>
              </w:rPr>
            </w:pPr>
            <w:r>
              <w:rPr>
                <w:rFonts w:ascii="Times New Roman" w:hAnsi="Times New Roman"/>
                <w:b/>
                <w:color w:val="000000"/>
                <w:kern w:val="0"/>
                <w:szCs w:val="21"/>
              </w:rPr>
              <w:t>占比</w:t>
            </w:r>
          </w:p>
          <w:p>
            <w:pPr>
              <w:widowControl/>
              <w:jc w:val="center"/>
              <w:rPr>
                <w:rFonts w:ascii="Times New Roman" w:hAnsi="Times New Roman"/>
                <w:b/>
                <w:color w:val="000000"/>
                <w:kern w:val="0"/>
                <w:szCs w:val="21"/>
              </w:rPr>
            </w:pPr>
            <w:r>
              <w:rPr>
                <w:rFonts w:hint="eastAsia" w:ascii="Times New Roman" w:hAnsi="Times New Roman"/>
                <w:b/>
                <w:color w:val="000000"/>
                <w:kern w:val="0"/>
                <w:szCs w:val="21"/>
              </w:rPr>
              <w:t>（</w:t>
            </w:r>
            <w:r>
              <w:rPr>
                <w:rFonts w:ascii="Times New Roman" w:hAnsi="Times New Roman"/>
                <w:b/>
                <w:color w:val="000000"/>
                <w:kern w:val="0"/>
                <w:szCs w:val="21"/>
              </w:rPr>
              <w:t>%</w:t>
            </w:r>
            <w:r>
              <w:rPr>
                <w:rFonts w:hint="eastAsia" w:ascii="Times New Roman" w:hAnsi="Times New Roman"/>
                <w:b/>
                <w:color w:val="000000"/>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9" w:type="dxa"/>
            <w:vAlign w:val="center"/>
          </w:tcPr>
          <w:p>
            <w:pPr>
              <w:widowControl/>
              <w:spacing w:line="200" w:lineRule="atLeast"/>
              <w:jc w:val="center"/>
              <w:rPr>
                <w:rFonts w:ascii="Times New Roman" w:hAnsi="Times New Roman" w:eastAsia="宋体" w:cs="Times New Roman"/>
                <w:color w:val="000000"/>
                <w:kern w:val="0"/>
                <w:sz w:val="21"/>
                <w:szCs w:val="21"/>
                <w:lang w:val="en-US" w:eastAsia="zh-CN" w:bidi="ar-SA"/>
              </w:rPr>
            </w:pPr>
            <w:r>
              <w:rPr>
                <w:rFonts w:ascii="Times New Roman" w:hAnsi="Times New Roman"/>
                <w:color w:val="000000"/>
                <w:kern w:val="0"/>
                <w:szCs w:val="21"/>
              </w:rPr>
              <w:t>201</w:t>
            </w:r>
            <w:r>
              <w:rPr>
                <w:rFonts w:hint="eastAsia" w:ascii="Times New Roman" w:hAnsi="Times New Roman"/>
                <w:color w:val="000000"/>
                <w:kern w:val="0"/>
                <w:szCs w:val="21"/>
              </w:rPr>
              <w:t>9</w:t>
            </w:r>
            <w:r>
              <w:rPr>
                <w:rFonts w:ascii="Times New Roman" w:hAnsi="Times New Roman"/>
                <w:color w:val="000000"/>
                <w:kern w:val="0"/>
                <w:szCs w:val="21"/>
              </w:rPr>
              <w:t>-20</w:t>
            </w:r>
            <w:r>
              <w:rPr>
                <w:rFonts w:hint="eastAsia" w:ascii="Times New Roman" w:hAnsi="Times New Roman"/>
                <w:color w:val="000000"/>
                <w:kern w:val="0"/>
                <w:szCs w:val="21"/>
              </w:rPr>
              <w:t>20</w:t>
            </w:r>
          </w:p>
        </w:tc>
        <w:tc>
          <w:tcPr>
            <w:tcW w:w="851" w:type="dxa"/>
            <w:vAlign w:val="center"/>
          </w:tcPr>
          <w:p>
            <w:pPr>
              <w:widowControl/>
              <w:spacing w:line="200" w:lineRule="atLeast"/>
              <w:jc w:val="center"/>
              <w:rPr>
                <w:rFonts w:ascii="Times New Roman" w:hAnsi="Times New Roman" w:eastAsia="宋体" w:cs="Times New Roman"/>
                <w:color w:val="000000"/>
                <w:kern w:val="0"/>
                <w:sz w:val="21"/>
                <w:szCs w:val="21"/>
                <w:lang w:val="en-US" w:eastAsia="zh-CN" w:bidi="ar-SA"/>
              </w:rPr>
            </w:pPr>
            <w:r>
              <w:rPr>
                <w:rFonts w:hint="eastAsia" w:ascii="Times New Roman" w:hAnsi="Times New Roman"/>
                <w:color w:val="000000"/>
                <w:kern w:val="0"/>
                <w:szCs w:val="21"/>
              </w:rPr>
              <w:t>119</w:t>
            </w:r>
          </w:p>
        </w:tc>
        <w:tc>
          <w:tcPr>
            <w:tcW w:w="567" w:type="dxa"/>
            <w:vAlign w:val="center"/>
          </w:tcPr>
          <w:p>
            <w:pPr>
              <w:widowControl/>
              <w:spacing w:line="200" w:lineRule="atLeast"/>
              <w:jc w:val="center"/>
              <w:rPr>
                <w:rFonts w:ascii="Times New Roman" w:hAnsi="Times New Roman" w:eastAsia="宋体" w:cs="Times New Roman"/>
                <w:kern w:val="0"/>
                <w:sz w:val="21"/>
                <w:szCs w:val="21"/>
                <w:lang w:val="en-US" w:eastAsia="zh-CN" w:bidi="ar-SA"/>
              </w:rPr>
            </w:pPr>
            <w:r>
              <w:rPr>
                <w:rFonts w:hint="eastAsia" w:ascii="Times New Roman" w:hAnsi="Times New Roman"/>
                <w:kern w:val="0"/>
                <w:szCs w:val="21"/>
              </w:rPr>
              <w:t>12</w:t>
            </w:r>
          </w:p>
        </w:tc>
        <w:tc>
          <w:tcPr>
            <w:tcW w:w="917" w:type="dxa"/>
            <w:vAlign w:val="center"/>
          </w:tcPr>
          <w:p>
            <w:pPr>
              <w:widowControl/>
              <w:spacing w:line="200" w:lineRule="atLeast"/>
              <w:jc w:val="center"/>
              <w:rPr>
                <w:rFonts w:ascii="Times New Roman" w:hAnsi="Times New Roman" w:eastAsia="宋体" w:cs="Times New Roman"/>
                <w:kern w:val="0"/>
                <w:sz w:val="21"/>
                <w:szCs w:val="21"/>
                <w:lang w:val="en-US" w:eastAsia="zh-CN" w:bidi="ar-SA"/>
              </w:rPr>
            </w:pPr>
            <w:r>
              <w:rPr>
                <w:rFonts w:hint="eastAsia" w:ascii="Times New Roman" w:hAnsi="Times New Roman"/>
                <w:kern w:val="0"/>
                <w:szCs w:val="21"/>
              </w:rPr>
              <w:t>10.0</w:t>
            </w:r>
            <w:r>
              <w:rPr>
                <w:rFonts w:ascii="Times New Roman" w:hAnsi="Times New Roman"/>
                <w:kern w:val="0"/>
                <w:szCs w:val="21"/>
              </w:rPr>
              <w:t>8</w:t>
            </w:r>
          </w:p>
        </w:tc>
        <w:tc>
          <w:tcPr>
            <w:tcW w:w="642" w:type="dxa"/>
            <w:vAlign w:val="center"/>
          </w:tcPr>
          <w:p>
            <w:pPr>
              <w:widowControl/>
              <w:spacing w:line="200" w:lineRule="atLeast"/>
              <w:jc w:val="center"/>
              <w:rPr>
                <w:rFonts w:ascii="Times New Roman" w:hAnsi="Times New Roman" w:eastAsia="宋体" w:cs="Times New Roman"/>
                <w:kern w:val="0"/>
                <w:sz w:val="21"/>
                <w:szCs w:val="21"/>
                <w:lang w:val="en-US" w:eastAsia="zh-CN" w:bidi="ar-SA"/>
              </w:rPr>
            </w:pPr>
            <w:r>
              <w:rPr>
                <w:rFonts w:hint="eastAsia" w:ascii="Times New Roman" w:hAnsi="Times New Roman"/>
                <w:kern w:val="0"/>
                <w:szCs w:val="21"/>
              </w:rPr>
              <w:t>39</w:t>
            </w:r>
          </w:p>
        </w:tc>
        <w:tc>
          <w:tcPr>
            <w:tcW w:w="973" w:type="dxa"/>
            <w:vAlign w:val="center"/>
          </w:tcPr>
          <w:p>
            <w:pPr>
              <w:widowControl/>
              <w:spacing w:line="200" w:lineRule="atLeast"/>
              <w:jc w:val="center"/>
              <w:rPr>
                <w:rFonts w:ascii="Times New Roman" w:hAnsi="Times New Roman" w:eastAsia="宋体" w:cs="Times New Roman"/>
                <w:kern w:val="0"/>
                <w:sz w:val="21"/>
                <w:szCs w:val="21"/>
                <w:lang w:val="en-US" w:eastAsia="zh-CN" w:bidi="ar-SA"/>
              </w:rPr>
            </w:pPr>
            <w:r>
              <w:rPr>
                <w:rFonts w:hint="eastAsia" w:ascii="Times New Roman" w:hAnsi="Times New Roman"/>
                <w:kern w:val="0"/>
                <w:szCs w:val="21"/>
              </w:rPr>
              <w:t>32.</w:t>
            </w:r>
            <w:r>
              <w:rPr>
                <w:rFonts w:ascii="Times New Roman" w:hAnsi="Times New Roman"/>
                <w:kern w:val="0"/>
                <w:szCs w:val="21"/>
              </w:rPr>
              <w:t>77</w:t>
            </w:r>
          </w:p>
        </w:tc>
        <w:tc>
          <w:tcPr>
            <w:tcW w:w="586" w:type="dxa"/>
            <w:vAlign w:val="center"/>
          </w:tcPr>
          <w:p>
            <w:pPr>
              <w:widowControl/>
              <w:spacing w:line="200" w:lineRule="atLeast"/>
              <w:jc w:val="center"/>
              <w:rPr>
                <w:rFonts w:ascii="Times New Roman" w:hAnsi="Times New Roman" w:eastAsia="宋体" w:cs="Times New Roman"/>
                <w:kern w:val="0"/>
                <w:sz w:val="21"/>
                <w:szCs w:val="21"/>
                <w:lang w:val="en-US" w:eastAsia="zh-CN" w:bidi="ar-SA"/>
              </w:rPr>
            </w:pPr>
            <w:r>
              <w:rPr>
                <w:rFonts w:hint="eastAsia" w:ascii="Times New Roman" w:hAnsi="Times New Roman"/>
                <w:kern w:val="0"/>
                <w:szCs w:val="21"/>
              </w:rPr>
              <w:t>24</w:t>
            </w:r>
          </w:p>
        </w:tc>
        <w:tc>
          <w:tcPr>
            <w:tcW w:w="959" w:type="dxa"/>
            <w:vAlign w:val="center"/>
          </w:tcPr>
          <w:p>
            <w:pPr>
              <w:widowControl/>
              <w:spacing w:line="200" w:lineRule="atLeast"/>
              <w:jc w:val="center"/>
              <w:rPr>
                <w:rFonts w:ascii="Times New Roman" w:hAnsi="Times New Roman" w:eastAsia="宋体" w:cs="Times New Roman"/>
                <w:kern w:val="0"/>
                <w:sz w:val="21"/>
                <w:szCs w:val="21"/>
                <w:lang w:val="en-US" w:eastAsia="zh-CN" w:bidi="ar-SA"/>
              </w:rPr>
            </w:pPr>
            <w:r>
              <w:rPr>
                <w:rFonts w:hint="eastAsia" w:ascii="Times New Roman" w:hAnsi="Times New Roman"/>
                <w:kern w:val="0"/>
                <w:szCs w:val="21"/>
              </w:rPr>
              <w:t>20.</w:t>
            </w:r>
            <w:r>
              <w:rPr>
                <w:rFonts w:ascii="Times New Roman" w:hAnsi="Times New Roman"/>
                <w:kern w:val="0"/>
                <w:szCs w:val="21"/>
              </w:rPr>
              <w:t>17</w:t>
            </w:r>
          </w:p>
        </w:tc>
        <w:tc>
          <w:tcPr>
            <w:tcW w:w="672" w:type="dxa"/>
            <w:vAlign w:val="center"/>
          </w:tcPr>
          <w:p>
            <w:pPr>
              <w:widowControl/>
              <w:spacing w:line="200" w:lineRule="atLeast"/>
              <w:jc w:val="center"/>
              <w:rPr>
                <w:rFonts w:ascii="Times New Roman" w:hAnsi="Times New Roman" w:eastAsia="宋体" w:cs="Times New Roman"/>
                <w:kern w:val="0"/>
                <w:sz w:val="21"/>
                <w:szCs w:val="21"/>
                <w:lang w:val="en-US" w:eastAsia="zh-CN" w:bidi="ar-SA"/>
              </w:rPr>
            </w:pPr>
            <w:r>
              <w:rPr>
                <w:rFonts w:hint="eastAsia" w:ascii="Times New Roman" w:hAnsi="Times New Roman"/>
                <w:kern w:val="0"/>
                <w:szCs w:val="21"/>
              </w:rPr>
              <w:t>44</w:t>
            </w:r>
          </w:p>
        </w:tc>
        <w:tc>
          <w:tcPr>
            <w:tcW w:w="982" w:type="dxa"/>
            <w:vAlign w:val="center"/>
          </w:tcPr>
          <w:p>
            <w:pPr>
              <w:widowControl/>
              <w:spacing w:line="200" w:lineRule="atLeast"/>
              <w:jc w:val="center"/>
              <w:rPr>
                <w:rFonts w:ascii="Times New Roman" w:hAnsi="Times New Roman" w:eastAsia="宋体" w:cs="Times New Roman"/>
                <w:kern w:val="0"/>
                <w:sz w:val="21"/>
                <w:szCs w:val="21"/>
                <w:lang w:val="en-US" w:eastAsia="zh-CN" w:bidi="ar-SA"/>
              </w:rPr>
            </w:pPr>
            <w:r>
              <w:rPr>
                <w:rFonts w:ascii="Times New Roman" w:hAnsi="Times New Roman"/>
                <w:kern w:val="0"/>
                <w:szCs w:val="21"/>
              </w:rPr>
              <w:t>36.98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9" w:type="dxa"/>
            <w:vAlign w:val="center"/>
          </w:tcPr>
          <w:p>
            <w:pPr>
              <w:widowControl/>
              <w:spacing w:line="200" w:lineRule="atLeast"/>
              <w:jc w:val="center"/>
              <w:rPr>
                <w:rFonts w:ascii="Times New Roman" w:hAnsi="Times New Roman"/>
                <w:color w:val="000000"/>
                <w:kern w:val="0"/>
                <w:szCs w:val="21"/>
              </w:rPr>
            </w:pPr>
            <w:r>
              <w:rPr>
                <w:rFonts w:hint="eastAsia" w:ascii="Times New Roman" w:hAnsi="Times New Roman"/>
                <w:color w:val="000000"/>
                <w:kern w:val="0"/>
                <w:szCs w:val="21"/>
                <w:lang w:val="en-US" w:eastAsia="zh-CN"/>
              </w:rPr>
              <w:t>2020-2021</w:t>
            </w:r>
          </w:p>
        </w:tc>
        <w:tc>
          <w:tcPr>
            <w:tcW w:w="851" w:type="dxa"/>
            <w:vAlign w:val="center"/>
          </w:tcPr>
          <w:p>
            <w:pPr>
              <w:widowControl/>
              <w:spacing w:line="200" w:lineRule="atLeast"/>
              <w:jc w:val="center"/>
              <w:rPr>
                <w:rFonts w:ascii="Times New Roman" w:hAnsi="Times New Roman"/>
                <w:color w:val="000000"/>
                <w:kern w:val="0"/>
                <w:szCs w:val="21"/>
              </w:rPr>
            </w:pPr>
            <w:r>
              <w:rPr>
                <w:rFonts w:hint="eastAsia" w:ascii="Times New Roman" w:hAnsi="Times New Roman"/>
                <w:color w:val="000000"/>
                <w:kern w:val="0"/>
                <w:szCs w:val="21"/>
                <w:lang w:val="en-US" w:eastAsia="zh-CN"/>
              </w:rPr>
              <w:t>81</w:t>
            </w:r>
          </w:p>
        </w:tc>
        <w:tc>
          <w:tcPr>
            <w:tcW w:w="567"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lang w:val="en-US" w:eastAsia="zh-CN"/>
              </w:rPr>
              <w:t>19</w:t>
            </w:r>
          </w:p>
        </w:tc>
        <w:tc>
          <w:tcPr>
            <w:tcW w:w="917"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lang w:val="en-US" w:eastAsia="zh-CN"/>
              </w:rPr>
              <w:t>23.46</w:t>
            </w:r>
          </w:p>
        </w:tc>
        <w:tc>
          <w:tcPr>
            <w:tcW w:w="642"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lang w:val="en-US" w:eastAsia="zh-CN"/>
              </w:rPr>
              <w:t>23</w:t>
            </w:r>
          </w:p>
        </w:tc>
        <w:tc>
          <w:tcPr>
            <w:tcW w:w="973"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lang w:val="en-US" w:eastAsia="zh-CN"/>
              </w:rPr>
              <w:t>28.40</w:t>
            </w:r>
          </w:p>
        </w:tc>
        <w:tc>
          <w:tcPr>
            <w:tcW w:w="586"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lang w:val="en-US" w:eastAsia="zh-CN"/>
              </w:rPr>
              <w:t>38</w:t>
            </w:r>
          </w:p>
        </w:tc>
        <w:tc>
          <w:tcPr>
            <w:tcW w:w="959"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lang w:val="en-US" w:eastAsia="zh-CN"/>
              </w:rPr>
              <w:t>46.91</w:t>
            </w:r>
          </w:p>
        </w:tc>
        <w:tc>
          <w:tcPr>
            <w:tcW w:w="672"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lang w:val="en-US" w:eastAsia="zh-CN"/>
              </w:rPr>
              <w:t>1</w:t>
            </w:r>
          </w:p>
        </w:tc>
        <w:tc>
          <w:tcPr>
            <w:tcW w:w="982" w:type="dxa"/>
            <w:vAlign w:val="center"/>
          </w:tcPr>
          <w:p>
            <w:pPr>
              <w:widowControl/>
              <w:spacing w:line="200" w:lineRule="atLeast"/>
              <w:jc w:val="center"/>
              <w:rPr>
                <w:rFonts w:ascii="Times New Roman" w:hAnsi="Times New Roman"/>
                <w:kern w:val="0"/>
                <w:szCs w:val="21"/>
              </w:rPr>
            </w:pPr>
            <w:r>
              <w:rPr>
                <w:rFonts w:hint="eastAsia" w:ascii="Times New Roman" w:hAnsi="Times New Roman"/>
                <w:kern w:val="0"/>
                <w:szCs w:val="21"/>
                <w:lang w:val="en-US" w:eastAsia="zh-CN"/>
              </w:rPr>
              <w:t>1.23</w:t>
            </w:r>
          </w:p>
        </w:tc>
      </w:tr>
    </w:tbl>
    <w:p>
      <w:pPr>
        <w:pStyle w:val="15"/>
        <w:shd w:val="clear" w:color="auto" w:fill="FFFFFF"/>
        <w:spacing w:before="0" w:beforeAutospacing="0" w:after="0" w:afterAutospacing="0" w:line="360" w:lineRule="auto"/>
        <w:jc w:val="center"/>
        <w:rPr>
          <w:rFonts w:ascii="Times New Roman" w:hAnsi="Times New Roman" w:cs="Times New Roman"/>
          <w:b/>
          <w:color w:val="000000"/>
          <w:kern w:val="2"/>
          <w:sz w:val="21"/>
          <w:szCs w:val="21"/>
        </w:rPr>
      </w:pPr>
      <w:r>
        <w:rPr>
          <w:rFonts w:ascii="Times New Roman" w:hAnsi="Times New Roman" w:cs="Times New Roman"/>
          <w:color w:val="000000" w:themeColor="text1"/>
          <w:szCs w:val="28"/>
          <w14:textFill>
            <w14:solidFill>
              <w14:schemeClr w14:val="tx1"/>
            </w14:solidFill>
          </w14:textFill>
        </w:rPr>
        <w:drawing>
          <wp:inline distT="0" distB="0" distL="0" distR="0">
            <wp:extent cx="4610735" cy="2216785"/>
            <wp:effectExtent l="0" t="0" r="0" b="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图1-</w:t>
      </w:r>
      <w:r>
        <w:rPr>
          <w:rFonts w:hint="eastAsia" w:ascii="Times New Roman" w:hAnsi="Times New Roman" w:cs="Times New Roman"/>
          <w:b/>
          <w:color w:val="000000" w:themeColor="text1"/>
          <w:kern w:val="2"/>
          <w:sz w:val="21"/>
          <w:szCs w:val="21"/>
          <w14:textFill>
            <w14:solidFill>
              <w14:schemeClr w14:val="tx1"/>
            </w14:solidFill>
          </w14:textFill>
        </w:rPr>
        <w:t>4</w:t>
      </w:r>
      <w:r>
        <w:rPr>
          <w:rFonts w:ascii="Times New Roman" w:hAnsi="Times New Roman" w:cs="Times New Roman"/>
          <w:b/>
          <w:color w:val="000000" w:themeColor="text1"/>
          <w:kern w:val="2"/>
          <w:sz w:val="21"/>
          <w:szCs w:val="21"/>
          <w14:textFill>
            <w14:solidFill>
              <w14:schemeClr w14:val="tx1"/>
            </w14:solidFill>
          </w14:textFill>
        </w:rPr>
        <w:t xml:space="preserve">  专任教师职称结构</w:t>
      </w:r>
      <w:r>
        <w:rPr>
          <w:rFonts w:hint="eastAsia" w:ascii="Times New Roman" w:hAnsi="Times New Roman" w:cs="Times New Roman"/>
          <w:b/>
          <w:color w:val="000000" w:themeColor="text1"/>
          <w:kern w:val="2"/>
          <w:sz w:val="21"/>
          <w:szCs w:val="21"/>
          <w14:textFill>
            <w14:solidFill>
              <w14:schemeClr w14:val="tx1"/>
            </w14:solidFill>
          </w14:textFill>
        </w:rPr>
        <w:t>图</w:t>
      </w:r>
    </w:p>
    <w:p>
      <w:pPr>
        <w:pStyle w:val="34"/>
        <w:ind w:firstLine="562"/>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4.专任教师年龄结构</w:t>
      </w:r>
    </w:p>
    <w:p>
      <w:pPr>
        <w:pStyle w:val="34"/>
        <w:spacing w:line="300" w:lineRule="auto"/>
        <w:ind w:firstLine="480"/>
        <w:rPr>
          <w:rFonts w:ascii="Times New Roman" w:hAnsi="Times New Roman" w:cs="Times New Roman"/>
          <w:color w:val="000000" w:themeColor="text1"/>
          <w:sz w:val="24"/>
          <w:szCs w:val="28"/>
          <w14:textFill>
            <w14:solidFill>
              <w14:schemeClr w14:val="tx1"/>
            </w14:solidFill>
          </w14:textFill>
        </w:rPr>
      </w:pPr>
      <w:r>
        <w:rPr>
          <w:rFonts w:ascii="Times New Roman" w:hAnsi="Times New Roman" w:cs="Times New Roman"/>
          <w:color w:val="000000" w:themeColor="text1"/>
          <w:sz w:val="24"/>
          <w:szCs w:val="28"/>
          <w14:textFill>
            <w14:solidFill>
              <w14:schemeClr w14:val="tx1"/>
            </w14:solidFill>
          </w14:textFill>
        </w:rPr>
        <w:t>专任教师</w:t>
      </w:r>
      <w:r>
        <w:rPr>
          <w:rFonts w:hint="eastAsia" w:ascii="Times New Roman" w:hAnsi="Times New Roman" w:cs="Times New Roman"/>
          <w:color w:val="000000" w:themeColor="text1"/>
          <w:sz w:val="24"/>
          <w:szCs w:val="28"/>
          <w14:textFill>
            <w14:solidFill>
              <w14:schemeClr w14:val="tx1"/>
            </w14:solidFill>
          </w14:textFill>
        </w:rPr>
        <w:t>中，35岁及以下</w:t>
      </w:r>
      <w:r>
        <w:rPr>
          <w:rFonts w:ascii="Times New Roman" w:hAnsi="Times New Roman" w:cs="Times New Roman"/>
          <w:color w:val="000000" w:themeColor="text1"/>
          <w:sz w:val="24"/>
          <w:szCs w:val="28"/>
          <w14:textFill>
            <w14:solidFill>
              <w14:schemeClr w14:val="tx1"/>
            </w14:solidFill>
          </w14:textFill>
        </w:rPr>
        <w:t>专任教师</w:t>
      </w:r>
      <w:r>
        <w:rPr>
          <w:rFonts w:hint="eastAsia" w:ascii="Times New Roman" w:hAnsi="Times New Roman" w:cs="Times New Roman"/>
          <w:color w:val="000000" w:themeColor="text1"/>
          <w:sz w:val="24"/>
          <w:szCs w:val="28"/>
          <w:lang w:val="en-US" w:eastAsia="zh-CN"/>
          <w14:textFill>
            <w14:solidFill>
              <w14:schemeClr w14:val="tx1"/>
            </w14:solidFill>
          </w14:textFill>
        </w:rPr>
        <w:t>34</w:t>
      </w:r>
      <w:r>
        <w:rPr>
          <w:rFonts w:hint="eastAsia" w:ascii="Times New Roman" w:hAnsi="Times New Roman" w:cs="Times New Roman"/>
          <w:color w:val="000000" w:themeColor="text1"/>
          <w:sz w:val="24"/>
          <w:szCs w:val="28"/>
          <w14:textFill>
            <w14:solidFill>
              <w14:schemeClr w14:val="tx1"/>
            </w14:solidFill>
          </w14:textFill>
        </w:rPr>
        <w:t>人，占比</w:t>
      </w:r>
      <w:r>
        <w:rPr>
          <w:rFonts w:hint="eastAsia" w:ascii="Times New Roman" w:hAnsi="Times New Roman" w:cs="Times New Roman"/>
          <w:color w:val="000000" w:themeColor="text1"/>
          <w:sz w:val="24"/>
          <w:szCs w:val="28"/>
          <w:lang w:val="en-US" w:eastAsia="zh-CN"/>
          <w14:textFill>
            <w14:solidFill>
              <w14:schemeClr w14:val="tx1"/>
            </w14:solidFill>
          </w14:textFill>
        </w:rPr>
        <w:t>41.98</w:t>
      </w:r>
      <w:r>
        <w:rPr>
          <w:rFonts w:hint="eastAsia" w:ascii="Times New Roman" w:hAnsi="Times New Roman" w:cs="Times New Roman"/>
          <w:color w:val="000000" w:themeColor="text1"/>
          <w:sz w:val="24"/>
          <w:szCs w:val="28"/>
          <w14:textFill>
            <w14:solidFill>
              <w14:schemeClr w14:val="tx1"/>
            </w14:solidFill>
          </w14:textFill>
        </w:rPr>
        <w:t>%；36至45岁专任教师</w:t>
      </w:r>
      <w:r>
        <w:rPr>
          <w:rFonts w:hint="eastAsia" w:ascii="Times New Roman" w:hAnsi="Times New Roman" w:cs="Times New Roman"/>
          <w:color w:val="000000" w:themeColor="text1"/>
          <w:sz w:val="24"/>
          <w:szCs w:val="28"/>
          <w:lang w:val="en-US" w:eastAsia="zh-CN"/>
          <w14:textFill>
            <w14:solidFill>
              <w14:schemeClr w14:val="tx1"/>
            </w14:solidFill>
          </w14:textFill>
        </w:rPr>
        <w:t>24</w:t>
      </w:r>
      <w:r>
        <w:rPr>
          <w:rFonts w:hint="eastAsia" w:ascii="Times New Roman" w:hAnsi="Times New Roman" w:cs="Times New Roman"/>
          <w:color w:val="000000" w:themeColor="text1"/>
          <w:sz w:val="24"/>
          <w:szCs w:val="28"/>
          <w14:textFill>
            <w14:solidFill>
              <w14:schemeClr w14:val="tx1"/>
            </w14:solidFill>
          </w14:textFill>
        </w:rPr>
        <w:t>人，占比</w:t>
      </w:r>
      <w:r>
        <w:rPr>
          <w:rFonts w:hint="eastAsia" w:ascii="Times New Roman" w:hAnsi="Times New Roman" w:cs="Times New Roman"/>
          <w:color w:val="000000" w:themeColor="text1"/>
          <w:sz w:val="24"/>
          <w:szCs w:val="28"/>
          <w:lang w:val="en-US" w:eastAsia="zh-CN"/>
          <w14:textFill>
            <w14:solidFill>
              <w14:schemeClr w14:val="tx1"/>
            </w14:solidFill>
          </w14:textFill>
        </w:rPr>
        <w:t>29.63</w:t>
      </w:r>
      <w:r>
        <w:rPr>
          <w:rFonts w:hint="eastAsia" w:ascii="Times New Roman" w:hAnsi="Times New Roman" w:cs="Times New Roman"/>
          <w:color w:val="000000" w:themeColor="text1"/>
          <w:sz w:val="24"/>
          <w:szCs w:val="28"/>
          <w14:textFill>
            <w14:solidFill>
              <w14:schemeClr w14:val="tx1"/>
            </w14:solidFill>
          </w14:textFill>
        </w:rPr>
        <w:t>%；46岁至55岁教师</w:t>
      </w:r>
      <w:r>
        <w:rPr>
          <w:rFonts w:hint="eastAsia" w:ascii="Times New Roman" w:hAnsi="Times New Roman" w:cs="Times New Roman"/>
          <w:color w:val="000000" w:themeColor="text1"/>
          <w:sz w:val="24"/>
          <w:szCs w:val="28"/>
          <w:lang w:val="en-US" w:eastAsia="zh-CN"/>
          <w14:textFill>
            <w14:solidFill>
              <w14:schemeClr w14:val="tx1"/>
            </w14:solidFill>
          </w14:textFill>
        </w:rPr>
        <w:t>22</w:t>
      </w:r>
      <w:r>
        <w:rPr>
          <w:rFonts w:hint="eastAsia" w:ascii="Times New Roman" w:hAnsi="Times New Roman" w:cs="Times New Roman"/>
          <w:color w:val="000000" w:themeColor="text1"/>
          <w:sz w:val="24"/>
          <w:szCs w:val="28"/>
          <w14:textFill>
            <w14:solidFill>
              <w14:schemeClr w14:val="tx1"/>
            </w14:solidFill>
          </w14:textFill>
        </w:rPr>
        <w:t>人，占比</w:t>
      </w:r>
      <w:r>
        <w:rPr>
          <w:rFonts w:hint="eastAsia" w:ascii="Times New Roman" w:hAnsi="Times New Roman" w:cs="Times New Roman"/>
          <w:color w:val="000000" w:themeColor="text1"/>
          <w:sz w:val="24"/>
          <w:szCs w:val="28"/>
          <w:lang w:val="en-US" w:eastAsia="zh-CN"/>
          <w14:textFill>
            <w14:solidFill>
              <w14:schemeClr w14:val="tx1"/>
            </w14:solidFill>
          </w14:textFill>
        </w:rPr>
        <w:t>27.16</w:t>
      </w:r>
      <w:r>
        <w:rPr>
          <w:rFonts w:hint="eastAsia" w:ascii="Times New Roman" w:hAnsi="Times New Roman" w:cs="Times New Roman"/>
          <w:color w:val="000000" w:themeColor="text1"/>
          <w:sz w:val="24"/>
          <w:szCs w:val="28"/>
          <w14:textFill>
            <w14:solidFill>
              <w14:schemeClr w14:val="tx1"/>
            </w14:solidFill>
          </w14:textFill>
        </w:rPr>
        <w:t>%</w:t>
      </w:r>
      <w:r>
        <w:rPr>
          <w:rFonts w:hint="eastAsia" w:ascii="Times New Roman" w:hAnsi="Times New Roman" w:cs="Times New Roman"/>
          <w:color w:val="000000" w:themeColor="text1"/>
          <w:sz w:val="24"/>
          <w:szCs w:val="28"/>
          <w:lang w:eastAsia="zh-CN"/>
          <w14:textFill>
            <w14:solidFill>
              <w14:schemeClr w14:val="tx1"/>
            </w14:solidFill>
          </w14:textFill>
        </w:rPr>
        <w:t>；56岁以上专任教师</w:t>
      </w:r>
      <w:r>
        <w:rPr>
          <w:rFonts w:hint="eastAsia" w:ascii="Times New Roman" w:hAnsi="Times New Roman" w:cs="Times New Roman"/>
          <w:color w:val="000000" w:themeColor="text1"/>
          <w:sz w:val="24"/>
          <w:szCs w:val="28"/>
          <w:lang w:val="en-US" w:eastAsia="zh-CN"/>
          <w14:textFill>
            <w14:solidFill>
              <w14:schemeClr w14:val="tx1"/>
            </w14:solidFill>
          </w14:textFill>
        </w:rPr>
        <w:t>1人，占比1.23%</w:t>
      </w:r>
      <w:r>
        <w:rPr>
          <w:rFonts w:hint="eastAsia" w:ascii="Times New Roman" w:hAnsi="Times New Roman" w:cs="Times New Roman"/>
          <w:color w:val="000000" w:themeColor="text1"/>
          <w:sz w:val="24"/>
          <w:szCs w:val="28"/>
          <w14:textFill>
            <w14:solidFill>
              <w14:schemeClr w14:val="tx1"/>
            </w14:solidFill>
          </w14:textFill>
        </w:rPr>
        <w:t>。</w:t>
      </w:r>
      <w:r>
        <w:rPr>
          <w:rFonts w:ascii="Times New Roman" w:hAnsi="Times New Roman" w:cs="Times New Roman"/>
          <w:color w:val="000000" w:themeColor="text1"/>
          <w:sz w:val="24"/>
          <w:szCs w:val="28"/>
          <w14:textFill>
            <w14:solidFill>
              <w14:schemeClr w14:val="tx1"/>
            </w14:solidFill>
          </w14:textFill>
        </w:rPr>
        <w:t>专任教师年龄结构见</w:t>
      </w:r>
      <w:r>
        <w:rPr>
          <w:rFonts w:hint="eastAsia" w:ascii="Times New Roman" w:hAnsi="Times New Roman" w:cs="Times New Roman"/>
          <w:color w:val="000000" w:themeColor="text1"/>
          <w:sz w:val="24"/>
          <w:szCs w:val="28"/>
          <w14:textFill>
            <w14:solidFill>
              <w14:schemeClr w14:val="tx1"/>
            </w14:solidFill>
          </w14:textFill>
        </w:rPr>
        <w:t>图</w:t>
      </w:r>
      <w:r>
        <w:rPr>
          <w:rFonts w:ascii="Times New Roman" w:hAnsi="Times New Roman" w:cs="Times New Roman"/>
          <w:color w:val="000000" w:themeColor="text1"/>
          <w:sz w:val="24"/>
          <w:szCs w:val="28"/>
          <w14:textFill>
            <w14:solidFill>
              <w14:schemeClr w14:val="tx1"/>
            </w14:solidFill>
          </w14:textFill>
        </w:rPr>
        <w:t>1-</w:t>
      </w:r>
      <w:r>
        <w:rPr>
          <w:rFonts w:hint="eastAsia" w:ascii="Times New Roman" w:hAnsi="Times New Roman" w:cs="Times New Roman"/>
          <w:color w:val="000000" w:themeColor="text1"/>
          <w:sz w:val="24"/>
          <w:szCs w:val="28"/>
          <w14:textFill>
            <w14:solidFill>
              <w14:schemeClr w14:val="tx1"/>
            </w14:solidFill>
          </w14:textFill>
        </w:rPr>
        <w:t>5</w:t>
      </w:r>
      <w:r>
        <w:rPr>
          <w:rFonts w:ascii="Times New Roman" w:hAnsi="Times New Roman" w:cs="Times New Roman"/>
          <w:color w:val="000000" w:themeColor="text1"/>
          <w:sz w:val="24"/>
          <w:szCs w:val="28"/>
          <w14:textFill>
            <w14:solidFill>
              <w14:schemeClr w14:val="tx1"/>
            </w14:solidFill>
          </w14:textFill>
        </w:rPr>
        <w:t>。</w:t>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color w:val="000000" w:themeColor="text1"/>
          <w:szCs w:val="28"/>
          <w14:textFill>
            <w14:solidFill>
              <w14:schemeClr w14:val="tx1"/>
            </w14:solidFill>
          </w14:textFill>
        </w:rPr>
        <w:drawing>
          <wp:inline distT="0" distB="0" distL="0" distR="0">
            <wp:extent cx="4384675" cy="2212975"/>
            <wp:effectExtent l="0" t="0" r="0" b="0"/>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图1-</w:t>
      </w:r>
      <w:r>
        <w:rPr>
          <w:rFonts w:hint="eastAsia" w:ascii="Times New Roman" w:hAnsi="Times New Roman" w:cs="Times New Roman"/>
          <w:b/>
          <w:color w:val="000000" w:themeColor="text1"/>
          <w:kern w:val="2"/>
          <w:sz w:val="21"/>
          <w:szCs w:val="21"/>
          <w14:textFill>
            <w14:solidFill>
              <w14:schemeClr w14:val="tx1"/>
            </w14:solidFill>
          </w14:textFill>
        </w:rPr>
        <w:t>5</w:t>
      </w:r>
      <w:r>
        <w:rPr>
          <w:rFonts w:ascii="Times New Roman" w:hAnsi="Times New Roman" w:cs="Times New Roman"/>
          <w:b/>
          <w:color w:val="000000" w:themeColor="text1"/>
          <w:kern w:val="2"/>
          <w:sz w:val="21"/>
          <w:szCs w:val="21"/>
          <w14:textFill>
            <w14:solidFill>
              <w14:schemeClr w14:val="tx1"/>
            </w14:solidFill>
          </w14:textFill>
        </w:rPr>
        <w:t xml:space="preserve">  专任教师</w:t>
      </w:r>
      <w:r>
        <w:rPr>
          <w:rFonts w:hint="eastAsia" w:ascii="Times New Roman" w:hAnsi="Times New Roman" w:cs="Times New Roman"/>
          <w:b/>
          <w:color w:val="000000" w:themeColor="text1"/>
          <w:kern w:val="2"/>
          <w:sz w:val="21"/>
          <w:szCs w:val="21"/>
          <w14:textFill>
            <w14:solidFill>
              <w14:schemeClr w14:val="tx1"/>
            </w14:solidFill>
          </w14:textFill>
        </w:rPr>
        <w:t>年龄</w:t>
      </w:r>
      <w:r>
        <w:rPr>
          <w:rFonts w:ascii="Times New Roman" w:hAnsi="Times New Roman" w:cs="Times New Roman"/>
          <w:b/>
          <w:color w:val="000000" w:themeColor="text1"/>
          <w:kern w:val="2"/>
          <w:sz w:val="21"/>
          <w:szCs w:val="21"/>
          <w14:textFill>
            <w14:solidFill>
              <w14:schemeClr w14:val="tx1"/>
            </w14:solidFill>
          </w14:textFill>
        </w:rPr>
        <w:t>结构</w:t>
      </w:r>
      <w:r>
        <w:rPr>
          <w:rFonts w:hint="eastAsia" w:ascii="Times New Roman" w:hAnsi="Times New Roman" w:cs="Times New Roman"/>
          <w:b/>
          <w:color w:val="000000" w:themeColor="text1"/>
          <w:kern w:val="2"/>
          <w:sz w:val="21"/>
          <w:szCs w:val="21"/>
          <w14:textFill>
            <w14:solidFill>
              <w14:schemeClr w14:val="tx1"/>
            </w14:solidFill>
          </w14:textFill>
        </w:rPr>
        <w:t>图</w:t>
      </w:r>
    </w:p>
    <w:p>
      <w:pPr>
        <w:pStyle w:val="5"/>
        <w:rPr>
          <w:rFonts w:ascii="Times New Roman" w:hAnsi="Times New Roman"/>
        </w:rPr>
      </w:pPr>
      <w:bookmarkStart w:id="37" w:name="_Toc25169"/>
      <w:bookmarkStart w:id="38" w:name="_Toc61256672"/>
      <w:r>
        <w:rPr>
          <w:rFonts w:ascii="Times New Roman" w:hAnsi="Times New Roman"/>
        </w:rPr>
        <w:t>（四）设施设备</w:t>
      </w:r>
      <w:bookmarkEnd w:id="37"/>
      <w:bookmarkEnd w:id="38"/>
    </w:p>
    <w:p>
      <w:pPr>
        <w:pStyle w:val="34"/>
        <w:ind w:firstLine="562"/>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1.教学仪器设备值</w:t>
      </w:r>
    </w:p>
    <w:p>
      <w:pPr>
        <w:pStyle w:val="34"/>
        <w:spacing w:line="300" w:lineRule="auto"/>
        <w:ind w:firstLine="480"/>
        <w:rPr>
          <w:rFonts w:ascii="Times New Roman" w:hAnsi="Times New Roman" w:cs="Times New Roman"/>
          <w:color w:val="000000" w:themeColor="text1"/>
          <w:sz w:val="24"/>
          <w:szCs w:val="28"/>
          <w14:textFill>
            <w14:solidFill>
              <w14:schemeClr w14:val="tx1"/>
            </w14:solidFill>
          </w14:textFill>
        </w:rPr>
      </w:pPr>
      <w:r>
        <w:rPr>
          <w:rFonts w:ascii="Times New Roman" w:hAnsi="Times New Roman" w:cs="Times New Roman"/>
          <w:color w:val="000000" w:themeColor="text1"/>
          <w:sz w:val="24"/>
          <w:szCs w:val="28"/>
          <w14:textFill>
            <w14:solidFill>
              <w14:schemeClr w14:val="tx1"/>
            </w14:solidFill>
          </w14:textFill>
        </w:rPr>
        <w:t>2020-2021学年</w:t>
      </w:r>
      <w:r>
        <w:rPr>
          <w:rFonts w:hint="eastAsia" w:ascii="Times New Roman" w:hAnsi="Times New Roman" w:cs="Times New Roman"/>
          <w:color w:val="000000" w:themeColor="text1"/>
          <w:sz w:val="24"/>
          <w:szCs w:val="28"/>
          <w14:textFill>
            <w14:solidFill>
              <w14:schemeClr w14:val="tx1"/>
            </w14:solidFill>
          </w14:textFill>
        </w:rPr>
        <w:t>，</w:t>
      </w:r>
      <w:r>
        <w:rPr>
          <w:rFonts w:ascii="Times New Roman" w:hAnsi="Times New Roman" w:cs="Times New Roman"/>
          <w:color w:val="000000" w:themeColor="text1"/>
          <w:sz w:val="24"/>
          <w:szCs w:val="28"/>
          <w14:textFill>
            <w14:solidFill>
              <w14:schemeClr w14:val="tx1"/>
            </w14:solidFill>
          </w14:textFill>
        </w:rPr>
        <w:t>学校教学仪器设备资产值1079</w:t>
      </w:r>
      <w:r>
        <w:rPr>
          <w:rFonts w:hint="eastAsia" w:ascii="Times New Roman" w:hAnsi="Times New Roman" w:cs="Times New Roman"/>
          <w:color w:val="000000" w:themeColor="text1"/>
          <w:sz w:val="24"/>
          <w:szCs w:val="28"/>
          <w:lang w:val="en-US" w:eastAsia="zh-Hans"/>
          <w14:textFill>
            <w14:solidFill>
              <w14:schemeClr w14:val="tx1"/>
            </w14:solidFill>
          </w14:textFill>
        </w:rPr>
        <w:t>.</w:t>
      </w:r>
      <w:r>
        <w:rPr>
          <w:rFonts w:hint="default" w:ascii="Times New Roman" w:hAnsi="Times New Roman" w:cs="Times New Roman"/>
          <w:color w:val="000000" w:themeColor="text1"/>
          <w:sz w:val="24"/>
          <w:szCs w:val="28"/>
          <w:lang w:eastAsia="zh-Hans"/>
          <w14:textFill>
            <w14:solidFill>
              <w14:schemeClr w14:val="tx1"/>
            </w14:solidFill>
          </w14:textFill>
        </w:rPr>
        <w:t>32</w:t>
      </w:r>
      <w:r>
        <w:rPr>
          <w:rFonts w:ascii="Times New Roman" w:hAnsi="Times New Roman" w:cs="Times New Roman"/>
          <w:color w:val="000000" w:themeColor="text1"/>
          <w:sz w:val="24"/>
          <w:szCs w:val="28"/>
          <w14:textFill>
            <w14:solidFill>
              <w14:schemeClr w14:val="tx1"/>
            </w14:solidFill>
          </w14:textFill>
        </w:rPr>
        <w:t>万元</w:t>
      </w:r>
      <w:r>
        <w:rPr>
          <w:rFonts w:hint="eastAsia" w:ascii="Times New Roman" w:hAnsi="Times New Roman" w:cs="Times New Roman"/>
          <w:color w:val="000000" w:themeColor="text1"/>
          <w:sz w:val="24"/>
          <w:szCs w:val="28"/>
          <w14:textFill>
            <w14:solidFill>
              <w14:schemeClr w14:val="tx1"/>
            </w14:solidFill>
          </w14:textFill>
        </w:rPr>
        <w:t>，</w:t>
      </w:r>
      <w:r>
        <w:rPr>
          <w:rFonts w:ascii="Times New Roman" w:hAnsi="Times New Roman" w:cs="Times New Roman"/>
          <w:color w:val="000000" w:themeColor="text1"/>
          <w:sz w:val="24"/>
          <w:szCs w:val="28"/>
          <w14:textFill>
            <w14:solidFill>
              <w14:schemeClr w14:val="tx1"/>
            </w14:solidFill>
          </w14:textFill>
        </w:rPr>
        <w:t>生均教学设备资产值</w:t>
      </w:r>
      <w:r>
        <w:rPr>
          <w:rFonts w:ascii="Times New Roman" w:hAnsi="Times New Roman" w:cs="Times New Roman"/>
          <w:color w:val="000000" w:themeColor="text1"/>
          <w:sz w:val="24"/>
          <w:szCs w:val="28"/>
          <w:vertAlign w:val="superscript"/>
          <w14:textFill>
            <w14:solidFill>
              <w14:schemeClr w14:val="tx1"/>
            </w14:solidFill>
          </w14:textFill>
        </w:rPr>
        <w:footnoteReference w:id="8"/>
      </w:r>
      <w:r>
        <w:rPr>
          <w:rFonts w:ascii="Times New Roman" w:hAnsi="Times New Roman" w:cs="Times New Roman"/>
          <w:color w:val="000000" w:themeColor="text1"/>
          <w:sz w:val="24"/>
          <w:szCs w:val="28"/>
          <w14:textFill>
            <w14:solidFill>
              <w14:schemeClr w14:val="tx1"/>
            </w14:solidFill>
          </w14:textFill>
        </w:rPr>
        <w:t>达到7377</w:t>
      </w:r>
      <w:r>
        <w:rPr>
          <w:rFonts w:hint="eastAsia" w:ascii="Times New Roman" w:hAnsi="Times New Roman" w:cs="Times New Roman"/>
          <w:color w:val="000000" w:themeColor="text1"/>
          <w:sz w:val="24"/>
          <w:szCs w:val="28"/>
          <w:lang w:val="en-US" w:eastAsia="zh-Hans"/>
          <w14:textFill>
            <w14:solidFill>
              <w14:schemeClr w14:val="tx1"/>
            </w14:solidFill>
          </w14:textFill>
        </w:rPr>
        <w:t>.</w:t>
      </w:r>
      <w:r>
        <w:rPr>
          <w:rFonts w:hint="default" w:ascii="Times New Roman" w:hAnsi="Times New Roman" w:cs="Times New Roman"/>
          <w:color w:val="000000" w:themeColor="text1"/>
          <w:sz w:val="24"/>
          <w:szCs w:val="28"/>
          <w:lang w:eastAsia="zh-Hans"/>
          <w14:textFill>
            <w14:solidFill>
              <w14:schemeClr w14:val="tx1"/>
            </w14:solidFill>
          </w14:textFill>
        </w:rPr>
        <w:t>44</w:t>
      </w:r>
      <w:r>
        <w:rPr>
          <w:rFonts w:ascii="Times New Roman" w:hAnsi="Times New Roman" w:cs="Times New Roman"/>
          <w:color w:val="000000" w:themeColor="text1"/>
          <w:sz w:val="24"/>
          <w:szCs w:val="28"/>
          <w14:textFill>
            <w14:solidFill>
              <w14:schemeClr w14:val="tx1"/>
            </w14:solidFill>
          </w14:textFill>
        </w:rPr>
        <w:t>元</w:t>
      </w:r>
      <w:r>
        <w:rPr>
          <w:rFonts w:hint="eastAsia" w:ascii="Times New Roman" w:hAnsi="Times New Roman" w:cs="Times New Roman"/>
          <w:color w:val="000000" w:themeColor="text1"/>
          <w:sz w:val="24"/>
          <w:szCs w:val="28"/>
          <w14:textFill>
            <w14:solidFill>
              <w14:schemeClr w14:val="tx1"/>
            </w14:solidFill>
          </w14:textFill>
        </w:rPr>
        <w:t>，超</w:t>
      </w:r>
      <w:r>
        <w:rPr>
          <w:rFonts w:hint="eastAsia" w:ascii="Times New Roman" w:hAnsi="Times New Roman" w:cs="Times New Roman"/>
          <w:color w:val="000000" w:themeColor="text1"/>
          <w:sz w:val="24"/>
          <w:szCs w:val="28"/>
          <w:lang w:val="en-US" w:eastAsia="zh-Hans"/>
          <w14:textFill>
            <w14:solidFill>
              <w14:schemeClr w14:val="tx1"/>
            </w14:solidFill>
          </w14:textFill>
        </w:rPr>
        <w:t>过</w:t>
      </w:r>
      <w:r>
        <w:rPr>
          <w:rFonts w:hint="eastAsia" w:ascii="Times New Roman" w:hAnsi="Times New Roman" w:cs="Times New Roman"/>
          <w:color w:val="000000" w:themeColor="text1"/>
          <w:sz w:val="24"/>
          <w:szCs w:val="28"/>
          <w14:textFill>
            <w14:solidFill>
              <w14:schemeClr w14:val="tx1"/>
            </w14:solidFill>
          </w14:textFill>
        </w:rPr>
        <w:t>设置标准</w:t>
      </w:r>
      <w:r>
        <w:rPr>
          <w:rFonts w:ascii="Times New Roman" w:hAnsi="Times New Roman" w:cs="Times New Roman"/>
          <w:color w:val="000000" w:themeColor="text1"/>
          <w:sz w:val="24"/>
          <w:szCs w:val="28"/>
          <w14:textFill>
            <w14:solidFill>
              <w14:schemeClr w14:val="tx1"/>
            </w14:solidFill>
          </w14:textFill>
        </w:rPr>
        <w:t>。</w:t>
      </w:r>
    </w:p>
    <w:p>
      <w:pPr>
        <w:pStyle w:val="34"/>
        <w:ind w:firstLine="562"/>
        <w:rPr>
          <w:rFonts w:ascii="Times New Roman" w:hAnsi="Times New Roman" w:cs="Times New Roman"/>
          <w:b/>
        </w:rPr>
      </w:pPr>
      <w:r>
        <w:rPr>
          <w:rFonts w:ascii="Times New Roman" w:hAnsi="Times New Roman" w:cs="Times New Roman"/>
          <w:b/>
        </w:rPr>
        <w:t>2.实训条件</w:t>
      </w:r>
    </w:p>
    <w:p>
      <w:pPr>
        <w:pStyle w:val="34"/>
        <w:spacing w:line="300" w:lineRule="auto"/>
        <w:ind w:firstLine="480"/>
        <w:rPr>
          <w:rFonts w:ascii="Times New Roman" w:hAnsi="Times New Roman" w:cs="Times New Roman"/>
          <w:color w:val="000000" w:themeColor="text1"/>
          <w:sz w:val="24"/>
          <w:szCs w:val="28"/>
          <w14:textFill>
            <w14:solidFill>
              <w14:schemeClr w14:val="tx1"/>
            </w14:solidFill>
          </w14:textFill>
        </w:rPr>
      </w:pPr>
      <w:r>
        <w:rPr>
          <w:rFonts w:hint="default" w:ascii="Times New Roman" w:hAnsi="Times New Roman" w:cs="Times New Roman"/>
          <w:color w:val="000000" w:themeColor="text1"/>
          <w:sz w:val="24"/>
          <w:szCs w:val="28"/>
          <w14:textFill>
            <w14:solidFill>
              <w14:schemeClr w14:val="tx1"/>
            </w14:solidFill>
          </w14:textFill>
        </w:rPr>
        <w:t>本学年，</w:t>
      </w:r>
      <w:r>
        <w:rPr>
          <w:rFonts w:ascii="Times New Roman" w:hAnsi="Times New Roman" w:cs="Times New Roman"/>
          <w:color w:val="000000" w:themeColor="text1"/>
          <w:sz w:val="24"/>
          <w:szCs w:val="28"/>
          <w14:textFill>
            <w14:solidFill>
              <w14:schemeClr w14:val="tx1"/>
            </w14:solidFill>
          </w14:textFill>
        </w:rPr>
        <w:t>学校</w:t>
      </w:r>
      <w:r>
        <w:rPr>
          <w:rFonts w:hint="default" w:ascii="Times New Roman" w:hAnsi="Times New Roman" w:cs="Times New Roman"/>
          <w:color w:val="000000" w:themeColor="text1"/>
          <w:sz w:val="24"/>
          <w:szCs w:val="28"/>
          <w14:textFill>
            <w14:solidFill>
              <w14:schemeClr w14:val="tx1"/>
            </w14:solidFill>
          </w14:textFill>
        </w:rPr>
        <w:t>在加大校内实训设施建设力度的同时，优化整合现有校内各类实训室，建成校内实训基地1</w:t>
      </w:r>
      <w:r>
        <w:rPr>
          <w:rFonts w:hint="default" w:ascii="Times New Roman" w:hAnsi="Times New Roman" w:cs="Times New Roman"/>
          <w:color w:val="000000" w:themeColor="text1"/>
          <w:sz w:val="24"/>
          <w:szCs w:val="28"/>
          <w:lang w:val="en-US" w:eastAsia="zh-CN"/>
          <w14:textFill>
            <w14:solidFill>
              <w14:schemeClr w14:val="tx1"/>
            </w14:solidFill>
          </w14:textFill>
        </w:rPr>
        <w:t>8</w:t>
      </w:r>
      <w:r>
        <w:rPr>
          <w:rFonts w:ascii="Times New Roman" w:hAnsi="Times New Roman" w:cs="Times New Roman"/>
          <w:color w:val="000000" w:themeColor="text1"/>
          <w:sz w:val="24"/>
          <w:szCs w:val="28"/>
          <w14:textFill>
            <w14:solidFill>
              <w14:schemeClr w14:val="tx1"/>
            </w14:solidFill>
          </w14:textFill>
        </w:rPr>
        <w:t>个</w:t>
      </w:r>
      <w:r>
        <w:rPr>
          <w:rFonts w:hint="default" w:ascii="Times New Roman" w:hAnsi="Times New Roman" w:cs="Times New Roman"/>
          <w:color w:val="000000" w:themeColor="text1"/>
          <w:sz w:val="24"/>
          <w:szCs w:val="28"/>
          <w14:textFill>
            <w14:solidFill>
              <w14:schemeClr w14:val="tx1"/>
            </w14:solidFill>
          </w14:textFill>
        </w:rPr>
        <w:t>，各类实训室8</w:t>
      </w:r>
      <w:r>
        <w:rPr>
          <w:rFonts w:hint="default" w:ascii="Times New Roman" w:hAnsi="Times New Roman" w:cs="Times New Roman"/>
          <w:color w:val="000000" w:themeColor="text1"/>
          <w:sz w:val="24"/>
          <w:szCs w:val="28"/>
          <w:lang w:val="en-US" w:eastAsia="zh-CN"/>
          <w14:textFill>
            <w14:solidFill>
              <w14:schemeClr w14:val="tx1"/>
            </w14:solidFill>
          </w14:textFill>
        </w:rPr>
        <w:t>9</w:t>
      </w:r>
      <w:r>
        <w:rPr>
          <w:rFonts w:hint="default" w:ascii="Times New Roman" w:hAnsi="Times New Roman" w:cs="Times New Roman"/>
          <w:color w:val="000000" w:themeColor="text1"/>
          <w:sz w:val="24"/>
          <w:szCs w:val="28"/>
          <w14:textFill>
            <w14:solidFill>
              <w14:schemeClr w14:val="tx1"/>
            </w14:solidFill>
          </w14:textFill>
        </w:rPr>
        <w:t>个，</w:t>
      </w:r>
      <w:r>
        <w:rPr>
          <w:rFonts w:ascii="Times New Roman" w:hAnsi="Times New Roman" w:cs="Times New Roman"/>
          <w:color w:val="000000" w:themeColor="text1"/>
          <w:sz w:val="24"/>
          <w:szCs w:val="28"/>
          <w14:textFill>
            <w14:solidFill>
              <w14:schemeClr w14:val="tx1"/>
            </w14:solidFill>
          </w14:textFill>
        </w:rPr>
        <w:t>实训工位</w:t>
      </w:r>
      <w:r>
        <w:rPr>
          <w:rFonts w:hint="default" w:ascii="Times New Roman" w:hAnsi="Times New Roman" w:cs="Times New Roman"/>
          <w:color w:val="000000" w:themeColor="text1"/>
          <w:sz w:val="24"/>
          <w:szCs w:val="28"/>
          <w:lang w:val="en-US" w:eastAsia="zh-CN"/>
          <w14:textFill>
            <w14:solidFill>
              <w14:schemeClr w14:val="tx1"/>
            </w14:solidFill>
          </w14:textFill>
        </w:rPr>
        <w:t>3156</w:t>
      </w:r>
      <w:r>
        <w:rPr>
          <w:rFonts w:ascii="Times New Roman" w:hAnsi="Times New Roman" w:cs="Times New Roman"/>
          <w:color w:val="000000" w:themeColor="text1"/>
          <w:sz w:val="24"/>
          <w:szCs w:val="28"/>
          <w14:textFill>
            <w14:solidFill>
              <w14:schemeClr w14:val="tx1"/>
            </w14:solidFill>
          </w14:textFill>
        </w:rPr>
        <w:t>个，生均校内实训工位数</w:t>
      </w:r>
      <w:r>
        <w:rPr>
          <w:rFonts w:hint="default" w:ascii="Times New Roman" w:hAnsi="Times New Roman" w:cs="Times New Roman"/>
          <w:color w:val="000000" w:themeColor="text1"/>
          <w:sz w:val="24"/>
          <w:szCs w:val="28"/>
          <w:lang w:val="en-US" w:eastAsia="zh-CN"/>
          <w14:textFill>
            <w14:solidFill>
              <w14:schemeClr w14:val="tx1"/>
            </w14:solidFill>
          </w14:textFill>
        </w:rPr>
        <w:t>2.16</w:t>
      </w:r>
      <w:r>
        <w:rPr>
          <w:rFonts w:ascii="Times New Roman" w:hAnsi="Times New Roman" w:cs="Times New Roman"/>
          <w:color w:val="000000" w:themeColor="text1"/>
          <w:sz w:val="24"/>
          <w:szCs w:val="28"/>
          <w14:textFill>
            <w14:solidFill>
              <w14:schemeClr w14:val="tx1"/>
            </w14:solidFill>
          </w14:textFill>
        </w:rPr>
        <w:t>个</w:t>
      </w:r>
      <w:r>
        <w:rPr>
          <w:rFonts w:hint="default" w:ascii="Times New Roman" w:hAnsi="Times New Roman" w:cs="Times New Roman"/>
          <w:color w:val="000000" w:themeColor="text1"/>
          <w:sz w:val="24"/>
          <w:szCs w:val="28"/>
          <w14:textFill>
            <w14:solidFill>
              <w14:schemeClr w14:val="tx1"/>
            </w14:solidFill>
          </w14:textFill>
        </w:rPr>
        <w:t>。</w:t>
      </w:r>
      <w:r>
        <w:rPr>
          <w:rFonts w:ascii="Times New Roman" w:hAnsi="Times New Roman" w:cs="Times New Roman"/>
          <w:color w:val="000000" w:themeColor="text1"/>
          <w:sz w:val="24"/>
          <w:szCs w:val="28"/>
          <w14:textFill>
            <w14:solidFill>
              <w14:schemeClr w14:val="tx1"/>
            </w14:solidFill>
          </w14:textFill>
        </w:rPr>
        <w:t>校内实训资源统计见表1-6。</w:t>
      </w:r>
    </w:p>
    <w:p>
      <w:pPr>
        <w:pStyle w:val="15"/>
        <w:shd w:val="clear" w:color="auto" w:fill="FFFFFF"/>
        <w:spacing w:before="0" w:beforeAutospacing="0" w:after="0" w:afterAutospacing="0" w:line="360" w:lineRule="auto"/>
        <w:jc w:val="center"/>
        <w:rPr>
          <w:rFonts w:ascii="Times New Roman" w:hAnsi="Times New Roman" w:cs="Times New Roman"/>
          <w:b/>
          <w:color w:val="000000"/>
          <w:kern w:val="2"/>
        </w:rPr>
      </w:pPr>
      <w:r>
        <w:rPr>
          <w:rFonts w:ascii="Times New Roman" w:hAnsi="Times New Roman" w:cs="Times New Roman"/>
          <w:b/>
          <w:color w:val="000000"/>
          <w:kern w:val="2"/>
          <w:sz w:val="21"/>
          <w:szCs w:val="21"/>
        </w:rPr>
        <w:t>表1-6  校内实训资源统计</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2440"/>
        <w:gridCol w:w="3054"/>
        <w:gridCol w:w="2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418" w:type="pct"/>
            <w:shd w:val="clear" w:color="auto" w:fill="C7DAF1" w:themeFill="text2" w:themeFillTint="32"/>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b/>
                <w:bCs/>
                <w:color w:val="000000"/>
                <w:szCs w:val="21"/>
              </w:rPr>
            </w:pPr>
            <w:r>
              <w:rPr>
                <w:rFonts w:cs="宋体" w:asciiTheme="minorEastAsia" w:hAnsiTheme="minorEastAsia" w:eastAsiaTheme="minorEastAsia"/>
                <w:b/>
                <w:bCs/>
                <w:color w:val="000000"/>
                <w:szCs w:val="21"/>
              </w:rPr>
              <w:t>序号</w:t>
            </w:r>
          </w:p>
        </w:tc>
        <w:tc>
          <w:tcPr>
            <w:tcW w:w="1431" w:type="pct"/>
            <w:shd w:val="clear" w:color="auto" w:fill="C7DAF1" w:themeFill="text2" w:themeFillTint="32"/>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b/>
                <w:bCs/>
                <w:color w:val="000000"/>
                <w:szCs w:val="21"/>
              </w:rPr>
            </w:pPr>
            <w:r>
              <w:rPr>
                <w:rFonts w:cs="宋体" w:asciiTheme="minorEastAsia" w:hAnsiTheme="minorEastAsia" w:eastAsiaTheme="minorEastAsia"/>
                <w:b/>
                <w:bCs/>
                <w:color w:val="000000"/>
                <w:szCs w:val="21"/>
              </w:rPr>
              <w:t>实训基地</w:t>
            </w:r>
            <w:r>
              <w:rPr>
                <w:rFonts w:hint="eastAsia" w:cs="宋体" w:asciiTheme="minorEastAsia" w:hAnsiTheme="minorEastAsia" w:eastAsiaTheme="minorEastAsia"/>
                <w:b/>
                <w:bCs/>
                <w:color w:val="000000"/>
                <w:szCs w:val="21"/>
              </w:rPr>
              <w:t>名称</w:t>
            </w:r>
          </w:p>
        </w:tc>
        <w:tc>
          <w:tcPr>
            <w:tcW w:w="1791" w:type="pct"/>
            <w:shd w:val="clear" w:color="auto" w:fill="C7DAF1" w:themeFill="text2" w:themeFillTint="32"/>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b/>
                <w:bCs/>
                <w:color w:val="000000"/>
                <w:szCs w:val="21"/>
              </w:rPr>
            </w:pPr>
            <w:r>
              <w:rPr>
                <w:rFonts w:hint="eastAsia" w:cs="宋体" w:asciiTheme="minorEastAsia" w:hAnsiTheme="minorEastAsia" w:eastAsiaTheme="minorEastAsia"/>
                <w:b/>
                <w:bCs/>
                <w:color w:val="000000"/>
                <w:szCs w:val="21"/>
              </w:rPr>
              <w:t>实训室名称</w:t>
            </w:r>
          </w:p>
        </w:tc>
        <w:tc>
          <w:tcPr>
            <w:tcW w:w="1358" w:type="pct"/>
            <w:shd w:val="clear" w:color="auto" w:fill="C7DAF1" w:themeFill="text2" w:themeFillTint="32"/>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b/>
                <w:bCs/>
                <w:color w:val="000000"/>
                <w:szCs w:val="21"/>
              </w:rPr>
            </w:pPr>
            <w:r>
              <w:rPr>
                <w:rFonts w:cs="宋体" w:asciiTheme="minorEastAsia" w:hAnsiTheme="minorEastAsia" w:eastAsiaTheme="minorEastAsia"/>
                <w:b/>
                <w:bCs/>
                <w:color w:val="000000"/>
                <w:szCs w:val="21"/>
              </w:rPr>
              <w:t>提供工位数（个）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bookmarkStart w:id="39" w:name="_Hlk466669896"/>
            <w:r>
              <w:rPr>
                <w:rFonts w:cs="宋体" w:asciiTheme="minorEastAsia" w:hAnsiTheme="minorEastAsia" w:eastAsiaTheme="minorEastAsia"/>
                <w:color w:val="000000"/>
                <w:szCs w:val="21"/>
              </w:rPr>
              <w:t>1</w:t>
            </w:r>
          </w:p>
        </w:tc>
        <w:tc>
          <w:tcPr>
            <w:tcW w:w="1431"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新能源实训中心</w:t>
            </w:r>
          </w:p>
        </w:tc>
        <w:tc>
          <w:tcPr>
            <w:tcW w:w="1791"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汽车新能源整车实训室</w:t>
            </w:r>
          </w:p>
        </w:tc>
        <w:tc>
          <w:tcPr>
            <w:tcW w:w="1358"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2</w:t>
            </w:r>
          </w:p>
        </w:tc>
        <w:tc>
          <w:tcPr>
            <w:tcW w:w="1431"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汽车营销实训中心</w:t>
            </w:r>
          </w:p>
        </w:tc>
        <w:tc>
          <w:tcPr>
            <w:tcW w:w="1791"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汽车营销实训室</w:t>
            </w:r>
          </w:p>
        </w:tc>
        <w:tc>
          <w:tcPr>
            <w:tcW w:w="1358"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3</w:t>
            </w:r>
          </w:p>
        </w:tc>
        <w:tc>
          <w:tcPr>
            <w:tcW w:w="1431"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汽车维修实训中心</w:t>
            </w:r>
          </w:p>
        </w:tc>
        <w:tc>
          <w:tcPr>
            <w:tcW w:w="1791"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汽车发动机实训室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汽车底盘实训室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汽车电气实训室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汽车电工电子实训室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汽车仿真模拟实训室</w:t>
            </w:r>
          </w:p>
        </w:tc>
        <w:tc>
          <w:tcPr>
            <w:tcW w:w="1358"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4</w:t>
            </w:r>
          </w:p>
        </w:tc>
        <w:tc>
          <w:tcPr>
            <w:tcW w:w="1431"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汽车钣喷实训中心</w:t>
            </w:r>
          </w:p>
        </w:tc>
        <w:tc>
          <w:tcPr>
            <w:tcW w:w="1791"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汽车打磨实训室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汽车整形实训室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汽车焊接实训室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汽车美容实训室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铝合金焊接实训室</w:t>
            </w:r>
          </w:p>
        </w:tc>
        <w:tc>
          <w:tcPr>
            <w:tcW w:w="1358"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30</w:t>
            </w:r>
          </w:p>
        </w:tc>
      </w:tr>
      <w:bookmarkEnd w:id="39"/>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5</w:t>
            </w:r>
          </w:p>
        </w:tc>
        <w:tc>
          <w:tcPr>
            <w:tcW w:w="1431"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金工实训基地</w:t>
            </w:r>
          </w:p>
        </w:tc>
        <w:tc>
          <w:tcPr>
            <w:tcW w:w="1791"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焊接实训室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钳工实训室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机械装调实训室</w:t>
            </w:r>
          </w:p>
        </w:tc>
        <w:tc>
          <w:tcPr>
            <w:tcW w:w="1358"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6</w:t>
            </w:r>
          </w:p>
        </w:tc>
        <w:tc>
          <w:tcPr>
            <w:tcW w:w="1431"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机械加工实训基地</w:t>
            </w:r>
          </w:p>
        </w:tc>
        <w:tc>
          <w:tcPr>
            <w:tcW w:w="1791"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车工实训区</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铣床实训区</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钻磨实训区</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切割及加工中心实训区</w:t>
            </w:r>
          </w:p>
        </w:tc>
        <w:tc>
          <w:tcPr>
            <w:tcW w:w="1358"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7</w:t>
            </w:r>
          </w:p>
        </w:tc>
        <w:tc>
          <w:tcPr>
            <w:tcW w:w="1431"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新能源实训基地</w:t>
            </w:r>
          </w:p>
        </w:tc>
        <w:tc>
          <w:tcPr>
            <w:tcW w:w="1791"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DCS实训室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变配电实训室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光伏发电实训室</w:t>
            </w:r>
          </w:p>
        </w:tc>
        <w:tc>
          <w:tcPr>
            <w:tcW w:w="1358"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8</w:t>
            </w:r>
          </w:p>
        </w:tc>
        <w:tc>
          <w:tcPr>
            <w:tcW w:w="1431"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综合布线实训基地</w:t>
            </w:r>
          </w:p>
        </w:tc>
        <w:tc>
          <w:tcPr>
            <w:tcW w:w="1791"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综合布线实训室</w:t>
            </w:r>
          </w:p>
        </w:tc>
        <w:tc>
          <w:tcPr>
            <w:tcW w:w="1358"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9</w:t>
            </w:r>
          </w:p>
        </w:tc>
        <w:tc>
          <w:tcPr>
            <w:tcW w:w="1431"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路由交换实训基地</w:t>
            </w:r>
          </w:p>
        </w:tc>
        <w:tc>
          <w:tcPr>
            <w:tcW w:w="1791"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路由交换实训室</w:t>
            </w:r>
          </w:p>
        </w:tc>
        <w:tc>
          <w:tcPr>
            <w:tcW w:w="1358"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w:t>
            </w:r>
            <w:r>
              <w:rPr>
                <w:rFonts w:cs="宋体" w:asciiTheme="minorEastAsia" w:hAnsiTheme="minorEastAsia" w:eastAsiaTheme="minorEastAsia"/>
                <w:color w:val="000000"/>
                <w:szCs w:val="21"/>
              </w:rPr>
              <w:t>0</w:t>
            </w:r>
          </w:p>
        </w:tc>
        <w:tc>
          <w:tcPr>
            <w:tcW w:w="1431"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化工机械维修实训室</w:t>
            </w:r>
          </w:p>
        </w:tc>
        <w:tc>
          <w:tcPr>
            <w:tcW w:w="1791"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化工管路拆装实训室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化工设备拆装实训室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机泵拆装实训室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机械基础实训室</w:t>
            </w:r>
          </w:p>
        </w:tc>
        <w:tc>
          <w:tcPr>
            <w:tcW w:w="1358"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default" w:cs="宋体" w:asciiTheme="minorEastAsia" w:hAnsiTheme="minorEastAsia" w:eastAsiaTheme="minorEastAsia"/>
                <w:color w:val="000000"/>
                <w:szCs w:val="21"/>
                <w:lang w:val="en-US" w:eastAsia="zh-CN"/>
              </w:rPr>
            </w:pPr>
            <w:r>
              <w:rPr>
                <w:rFonts w:hint="eastAsia" w:cs="宋体" w:asciiTheme="minorEastAsia" w:hAnsiTheme="minorEastAsia" w:eastAsiaTheme="minorEastAsia"/>
                <w:color w:val="000000"/>
                <w:szCs w:val="21"/>
                <w:lang w:val="en-US" w:eastAsia="zh-CN"/>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41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w:t>
            </w:r>
            <w:r>
              <w:rPr>
                <w:rFonts w:cs="宋体" w:asciiTheme="minorEastAsia" w:hAnsiTheme="minorEastAsia" w:eastAsiaTheme="minorEastAsia"/>
                <w:color w:val="000000"/>
                <w:szCs w:val="21"/>
              </w:rPr>
              <w:t>1</w:t>
            </w:r>
          </w:p>
        </w:tc>
        <w:tc>
          <w:tcPr>
            <w:tcW w:w="1431"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材料力学性能实训室</w:t>
            </w:r>
          </w:p>
        </w:tc>
        <w:tc>
          <w:tcPr>
            <w:tcW w:w="1791"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金属力学性能实训室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金属热处理实训室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金相分析实训室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材料成型实训室</w:t>
            </w:r>
          </w:p>
        </w:tc>
        <w:tc>
          <w:tcPr>
            <w:tcW w:w="1358"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default" w:cs="宋体" w:asciiTheme="minorEastAsia" w:hAnsiTheme="minorEastAsia" w:eastAsiaTheme="minorEastAsia"/>
                <w:color w:val="000000"/>
                <w:szCs w:val="21"/>
                <w:lang w:val="en-US" w:eastAsia="zh-CN"/>
              </w:rPr>
            </w:pPr>
            <w:r>
              <w:rPr>
                <w:rFonts w:hint="eastAsia" w:cs="宋体" w:asciiTheme="minorEastAsia" w:hAnsiTheme="minorEastAsia" w:eastAsiaTheme="minorEastAsia"/>
                <w:color w:val="000000"/>
                <w:szCs w:val="21"/>
                <w:lang w:val="en-US" w:eastAsia="zh-CN"/>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0" w:hRule="atLeast"/>
          <w:jc w:val="center"/>
        </w:trPr>
        <w:tc>
          <w:tcPr>
            <w:tcW w:w="41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w:t>
            </w:r>
            <w:r>
              <w:rPr>
                <w:rFonts w:cs="宋体" w:asciiTheme="minorEastAsia" w:hAnsiTheme="minorEastAsia" w:eastAsiaTheme="minorEastAsia"/>
                <w:color w:val="000000"/>
                <w:szCs w:val="21"/>
              </w:rPr>
              <w:t>2</w:t>
            </w:r>
          </w:p>
        </w:tc>
        <w:tc>
          <w:tcPr>
            <w:tcW w:w="1431"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化工基础实训基地</w:t>
            </w:r>
          </w:p>
        </w:tc>
        <w:tc>
          <w:tcPr>
            <w:tcW w:w="1791"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化工安全实训室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化工原理实训室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化工单元操作实训室个</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化工单元仿真实训室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化工工艺仿真实训室</w:t>
            </w:r>
          </w:p>
        </w:tc>
        <w:tc>
          <w:tcPr>
            <w:tcW w:w="1358"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default" w:cs="宋体" w:asciiTheme="minorEastAsia" w:hAnsiTheme="minorEastAsia" w:eastAsiaTheme="minorEastAsia"/>
                <w:color w:val="000000"/>
                <w:szCs w:val="21"/>
                <w:lang w:val="en-US" w:eastAsia="zh-CN"/>
              </w:rPr>
            </w:pPr>
            <w:r>
              <w:rPr>
                <w:rFonts w:hint="eastAsia" w:cs="宋体" w:asciiTheme="minorEastAsia" w:hAnsiTheme="minorEastAsia" w:eastAsiaTheme="minorEastAsia"/>
                <w:color w:val="000000"/>
                <w:szCs w:val="21"/>
                <w:lang w:val="en-US" w:eastAsia="zh-CN"/>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41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w:t>
            </w:r>
            <w:r>
              <w:rPr>
                <w:rFonts w:cs="宋体" w:asciiTheme="minorEastAsia" w:hAnsiTheme="minorEastAsia" w:eastAsiaTheme="minorEastAsia"/>
                <w:color w:val="000000"/>
                <w:szCs w:val="21"/>
              </w:rPr>
              <w:t>3</w:t>
            </w:r>
          </w:p>
        </w:tc>
        <w:tc>
          <w:tcPr>
            <w:tcW w:w="1431"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化工工艺实训基地</w:t>
            </w:r>
          </w:p>
        </w:tc>
        <w:tc>
          <w:tcPr>
            <w:tcW w:w="1791"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合成氨工艺实训室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离子膜制烧碱工艺实训室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无机物模型实训室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煤制甲醇仿真工厂</w:t>
            </w:r>
          </w:p>
        </w:tc>
        <w:tc>
          <w:tcPr>
            <w:tcW w:w="1358"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default" w:cs="宋体" w:asciiTheme="minorEastAsia" w:hAnsiTheme="minorEastAsia" w:eastAsiaTheme="minorEastAsia"/>
                <w:color w:val="000000"/>
                <w:szCs w:val="21"/>
                <w:lang w:val="en-US" w:eastAsia="zh-CN"/>
              </w:rPr>
            </w:pPr>
            <w:r>
              <w:rPr>
                <w:rFonts w:hint="eastAsia" w:cs="宋体" w:asciiTheme="minorEastAsia" w:hAnsiTheme="minorEastAsia" w:eastAsiaTheme="minorEastAsia"/>
                <w:color w:val="000000"/>
                <w:szCs w:val="21"/>
                <w:lang w:val="en-US" w:eastAsia="zh-CN"/>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41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w:t>
            </w:r>
            <w:r>
              <w:rPr>
                <w:rFonts w:cs="宋体" w:asciiTheme="minorEastAsia" w:hAnsiTheme="minorEastAsia" w:eastAsiaTheme="minorEastAsia"/>
                <w:color w:val="000000"/>
                <w:szCs w:val="21"/>
              </w:rPr>
              <w:t>4</w:t>
            </w:r>
          </w:p>
        </w:tc>
        <w:tc>
          <w:tcPr>
            <w:tcW w:w="1431"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盐化工实训基地</w:t>
            </w:r>
          </w:p>
        </w:tc>
        <w:tc>
          <w:tcPr>
            <w:tcW w:w="1791"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盐化工生产实训室</w:t>
            </w:r>
          </w:p>
        </w:tc>
        <w:tc>
          <w:tcPr>
            <w:tcW w:w="1358"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jc w:val="center"/>
        </w:trPr>
        <w:tc>
          <w:tcPr>
            <w:tcW w:w="41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w:t>
            </w:r>
            <w:r>
              <w:rPr>
                <w:rFonts w:cs="宋体" w:asciiTheme="minorEastAsia" w:hAnsiTheme="minorEastAsia" w:eastAsiaTheme="minorEastAsia"/>
                <w:color w:val="000000"/>
                <w:szCs w:val="21"/>
              </w:rPr>
              <w:t>5</w:t>
            </w:r>
          </w:p>
        </w:tc>
        <w:tc>
          <w:tcPr>
            <w:tcW w:w="1431"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工业自动化仪表实训基地</w:t>
            </w:r>
          </w:p>
        </w:tc>
        <w:tc>
          <w:tcPr>
            <w:tcW w:w="1791"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PLC实训室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创新创业实训室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化工仪表大赛实训室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仪表调节阀拆装实训室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集散控制实训室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化工制图实训室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电工电子实训室</w:t>
            </w:r>
          </w:p>
        </w:tc>
        <w:tc>
          <w:tcPr>
            <w:tcW w:w="1358"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default" w:cs="宋体" w:asciiTheme="minorEastAsia" w:hAnsiTheme="minorEastAsia" w:eastAsiaTheme="minorEastAsia"/>
                <w:color w:val="000000"/>
                <w:szCs w:val="21"/>
                <w:lang w:val="en-US" w:eastAsia="zh-CN"/>
              </w:rPr>
            </w:pPr>
            <w:r>
              <w:rPr>
                <w:rFonts w:hint="eastAsia" w:cs="宋体" w:asciiTheme="minorEastAsia" w:hAnsiTheme="minorEastAsia" w:eastAsiaTheme="minorEastAsia"/>
                <w:color w:val="000000"/>
                <w:szCs w:val="21"/>
                <w:lang w:val="en-US" w:eastAsia="zh-CN"/>
              </w:rPr>
              <w:t>245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0" w:hRule="atLeast"/>
          <w:jc w:val="center"/>
        </w:trPr>
        <w:tc>
          <w:tcPr>
            <w:tcW w:w="41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w:t>
            </w:r>
            <w:r>
              <w:rPr>
                <w:rFonts w:cs="宋体" w:asciiTheme="minorEastAsia" w:hAnsiTheme="minorEastAsia" w:eastAsiaTheme="minorEastAsia"/>
                <w:color w:val="000000"/>
                <w:szCs w:val="21"/>
              </w:rPr>
              <w:t>6</w:t>
            </w:r>
          </w:p>
        </w:tc>
        <w:tc>
          <w:tcPr>
            <w:tcW w:w="1431"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工业分析技术实训基地</w:t>
            </w:r>
          </w:p>
        </w:tc>
        <w:tc>
          <w:tcPr>
            <w:tcW w:w="1791"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气质联用实训室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红外光谱实训室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原子荧光光谱室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电感耦合等离子色谱（ICP-MS）实训室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原子吸收光谱室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色谱实训室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电子天平实训室</w:t>
            </w:r>
          </w:p>
        </w:tc>
        <w:tc>
          <w:tcPr>
            <w:tcW w:w="1358"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default" w:cs="宋体" w:asciiTheme="minorEastAsia" w:hAnsiTheme="minorEastAsia" w:eastAsiaTheme="minorEastAsia"/>
                <w:color w:val="000000"/>
                <w:szCs w:val="21"/>
                <w:lang w:val="en-US" w:eastAsia="zh-CN"/>
              </w:rPr>
            </w:pPr>
            <w:r>
              <w:rPr>
                <w:rFonts w:hint="eastAsia" w:cs="宋体" w:asciiTheme="minorEastAsia" w:hAnsiTheme="minorEastAsia" w:eastAsiaTheme="minorEastAsia"/>
                <w:color w:val="000000"/>
                <w:szCs w:val="21"/>
                <w:lang w:val="en-US" w:eastAsia="zh-CN"/>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 w:hRule="atLeast"/>
          <w:jc w:val="center"/>
        </w:trPr>
        <w:tc>
          <w:tcPr>
            <w:tcW w:w="41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1</w:t>
            </w:r>
            <w:r>
              <w:rPr>
                <w:rFonts w:cs="宋体" w:asciiTheme="minorEastAsia" w:hAnsiTheme="minorEastAsia" w:eastAsiaTheme="minorEastAsia"/>
                <w:color w:val="000000"/>
                <w:szCs w:val="21"/>
              </w:rPr>
              <w:t>7</w:t>
            </w:r>
          </w:p>
        </w:tc>
        <w:tc>
          <w:tcPr>
            <w:tcW w:w="1431"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default" w:cs="宋体" w:asciiTheme="minorEastAsia" w:hAnsiTheme="minorEastAsia" w:eastAsiaTheme="minorEastAsia"/>
                <w:color w:val="000000"/>
                <w:szCs w:val="21"/>
                <w:lang w:val="en-US" w:eastAsia="zh-CN"/>
              </w:rPr>
            </w:pPr>
            <w:r>
              <w:rPr>
                <w:rFonts w:hint="eastAsia" w:cs="宋体" w:asciiTheme="minorEastAsia" w:hAnsiTheme="minorEastAsia" w:eastAsiaTheme="minorEastAsia"/>
                <w:color w:val="000000"/>
                <w:szCs w:val="21"/>
                <w:lang w:val="en-US" w:eastAsia="zh-CN"/>
              </w:rPr>
              <w:t>学前教育实训基地</w:t>
            </w:r>
          </w:p>
        </w:tc>
        <w:tc>
          <w:tcPr>
            <w:tcW w:w="1791"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美术实训室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手工实训室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舞蹈实训室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电钢琴实训室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模拟教学实训室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美术展厅</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独立钢琴实训室</w:t>
            </w:r>
          </w:p>
        </w:tc>
        <w:tc>
          <w:tcPr>
            <w:tcW w:w="1358"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default" w:cs="宋体" w:asciiTheme="minorEastAsia" w:hAnsiTheme="minorEastAsia" w:eastAsiaTheme="minorEastAsia"/>
                <w:color w:val="000000"/>
                <w:szCs w:val="21"/>
                <w:lang w:val="en-US" w:eastAsia="zh-CN"/>
              </w:rPr>
            </w:pPr>
            <w:r>
              <w:rPr>
                <w:rFonts w:hint="eastAsia" w:cs="宋体" w:asciiTheme="minorEastAsia" w:hAnsiTheme="minorEastAsia" w:eastAsiaTheme="minorEastAsia"/>
                <w:color w:val="000000"/>
                <w:szCs w:val="21"/>
                <w:lang w:val="en-US" w:eastAsia="zh-CN"/>
              </w:rPr>
              <w:t>410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41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default" w:cs="宋体" w:asciiTheme="minorEastAsia" w:hAnsiTheme="minorEastAsia" w:eastAsiaTheme="minorEastAsia"/>
                <w:color w:val="000000"/>
                <w:szCs w:val="21"/>
                <w:lang w:val="en-US" w:eastAsia="zh-CN"/>
              </w:rPr>
            </w:pPr>
            <w:r>
              <w:rPr>
                <w:rFonts w:hint="eastAsia" w:cs="宋体" w:asciiTheme="minorEastAsia" w:hAnsiTheme="minorEastAsia" w:eastAsiaTheme="minorEastAsia"/>
                <w:color w:val="000000"/>
                <w:szCs w:val="21"/>
                <w:lang w:val="en-US" w:eastAsia="zh-CN"/>
              </w:rPr>
              <w:t>18</w:t>
            </w:r>
          </w:p>
        </w:tc>
        <w:tc>
          <w:tcPr>
            <w:tcW w:w="1431"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医学护理实训基地</w:t>
            </w:r>
          </w:p>
        </w:tc>
        <w:tc>
          <w:tcPr>
            <w:tcW w:w="1791" w:type="pct"/>
            <w:noWrap w:val="0"/>
            <w:vAlign w:val="top"/>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基护实训室（一）</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基护实训室（二）</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妇护实训室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传统康复实训室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解剖实训室（一）</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康复实训室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医学检验实训室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母婴护理实训室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中职技能大赛实训室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内护实训室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形体训练室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基护实训室（三）</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儿护实训室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药学实训室（一）</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药学实训室（二）</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解剖实训室（二）</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高职技能大赛实训室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微生物实训室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健康评估实训室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显微镜实训室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ICU实训室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hint="eastAsia"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模拟手术实训室</w:t>
            </w:r>
          </w:p>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现代康复实训室</w:t>
            </w:r>
          </w:p>
        </w:tc>
        <w:tc>
          <w:tcPr>
            <w:tcW w:w="1358" w:type="pct"/>
            <w:noWrap/>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hint="default" w:cs="宋体" w:asciiTheme="minorEastAsia" w:hAnsiTheme="minorEastAsia" w:eastAsiaTheme="minorEastAsia"/>
                <w:color w:val="000000"/>
                <w:szCs w:val="21"/>
                <w:lang w:val="en-US" w:eastAsia="zh-CN"/>
              </w:rPr>
            </w:pPr>
            <w:r>
              <w:rPr>
                <w:rFonts w:hint="eastAsia" w:cs="宋体" w:asciiTheme="minorEastAsia" w:hAnsiTheme="minorEastAsia" w:eastAsiaTheme="minorEastAsia"/>
                <w:color w:val="000000"/>
                <w:szCs w:val="21"/>
                <w:lang w:val="en-US" w:eastAsia="zh-CN"/>
              </w:rPr>
              <w:t>1150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849" w:type="pct"/>
            <w:gridSpan w:val="2"/>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cs="宋体" w:asciiTheme="minorEastAsia" w:hAnsiTheme="minorEastAsia" w:eastAsiaTheme="minorEastAsia"/>
                <w:color w:val="000000"/>
                <w:szCs w:val="21"/>
              </w:rPr>
              <w:t>合计</w:t>
            </w:r>
          </w:p>
        </w:tc>
        <w:tc>
          <w:tcPr>
            <w:tcW w:w="1791"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8</w:t>
            </w:r>
            <w:r>
              <w:rPr>
                <w:rFonts w:cs="宋体" w:asciiTheme="minorEastAsia" w:hAnsiTheme="minorEastAsia" w:eastAsiaTheme="minorEastAsia"/>
                <w:color w:val="000000"/>
                <w:szCs w:val="21"/>
              </w:rPr>
              <w:t>9</w:t>
            </w:r>
          </w:p>
        </w:tc>
        <w:tc>
          <w:tcPr>
            <w:tcW w:w="1358" w:type="pct"/>
            <w:noWrap w:val="0"/>
            <w:vAlign w:val="center"/>
          </w:tcPr>
          <w:p>
            <w:pPr>
              <w:keepNext w:val="0"/>
              <w:keepLines w:val="0"/>
              <w:pageBreakBefore w:val="0"/>
              <w:widowControl w:val="0"/>
              <w:kinsoku/>
              <w:wordWrap/>
              <w:overflowPunct/>
              <w:topLinePunct w:val="0"/>
              <w:autoSpaceDE/>
              <w:autoSpaceDN/>
              <w:bidi w:val="0"/>
              <w:adjustRightInd/>
              <w:snapToGrid/>
              <w:ind w:left="0"/>
              <w:jc w:val="center"/>
              <w:textAlignment w:val="auto"/>
              <w:rPr>
                <w:rFonts w:cs="宋体" w:asciiTheme="minorEastAsia" w:hAnsiTheme="minorEastAsia" w:eastAsiaTheme="minorEastAsia"/>
                <w:color w:val="000000"/>
                <w:szCs w:val="21"/>
              </w:rPr>
            </w:pPr>
            <w:r>
              <w:rPr>
                <w:rFonts w:hint="eastAsia" w:cs="宋体" w:asciiTheme="minorEastAsia" w:hAnsiTheme="minorEastAsia" w:eastAsiaTheme="minorEastAsia"/>
                <w:color w:val="000000"/>
                <w:szCs w:val="21"/>
              </w:rPr>
              <w:t>3</w:t>
            </w:r>
            <w:r>
              <w:rPr>
                <w:rFonts w:cs="宋体" w:asciiTheme="minorEastAsia" w:hAnsiTheme="minorEastAsia" w:eastAsiaTheme="minorEastAsia"/>
                <w:color w:val="000000"/>
                <w:szCs w:val="21"/>
              </w:rPr>
              <w:t>156</w:t>
            </w:r>
          </w:p>
        </w:tc>
      </w:tr>
    </w:tbl>
    <w:p>
      <w:pPr>
        <w:pStyle w:val="15"/>
        <w:shd w:val="clear" w:color="auto" w:fill="FFFFFF"/>
        <w:spacing w:before="0" w:beforeAutospacing="0" w:after="0" w:afterAutospacing="0" w:line="360" w:lineRule="auto"/>
        <w:jc w:val="center"/>
        <w:rPr>
          <w:rFonts w:ascii="Times New Roman" w:hAnsi="Times New Roman" w:cs="Times New Roman"/>
          <w:b/>
          <w:bCs/>
          <w:sz w:val="21"/>
          <w:szCs w:val="21"/>
        </w:rPr>
      </w:pPr>
      <w:r>
        <w:rPr>
          <w:rFonts w:ascii="Times New Roman" w:hAnsi="Times New Roman"/>
        </w:rPr>
        <w:drawing>
          <wp:inline distT="0" distB="0" distL="114300" distR="114300">
            <wp:extent cx="2543175" cy="1908810"/>
            <wp:effectExtent l="0" t="0" r="9525" b="15240"/>
            <wp:docPr id="3" name="图片 3" descr="QQ图片20210531093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QQ图片20210531093656"/>
                    <pic:cNvPicPr>
                      <a:picLocks noChangeAspect="1"/>
                    </pic:cNvPicPr>
                  </pic:nvPicPr>
                  <pic:blipFill>
                    <a:blip r:embed="rId26"/>
                    <a:stretch>
                      <a:fillRect/>
                    </a:stretch>
                  </pic:blipFill>
                  <pic:spPr>
                    <a:xfrm>
                      <a:off x="0" y="0"/>
                      <a:ext cx="2543175" cy="1908810"/>
                    </a:xfrm>
                    <a:prstGeom prst="rect">
                      <a:avLst/>
                    </a:prstGeom>
                  </pic:spPr>
                </pic:pic>
              </a:graphicData>
            </a:graphic>
          </wp:inline>
        </w:drawing>
      </w:r>
      <w:r>
        <w:rPr>
          <w:rFonts w:hint="eastAsia" w:ascii="Times New Roman" w:hAnsi="Times New Roman"/>
          <w:lang w:val="en-US" w:eastAsia="zh-CN"/>
        </w:rPr>
        <w:t xml:space="preserve"> </w:t>
      </w:r>
      <w:r>
        <w:rPr>
          <w:rFonts w:ascii="Times New Roman" w:hAnsi="Times New Roman" w:cs="Times New Roman"/>
          <w:b/>
          <w:bCs/>
          <w:sz w:val="21"/>
          <w:szCs w:val="21"/>
        </w:rPr>
        <w:drawing>
          <wp:inline distT="0" distB="0" distL="114300" distR="114300">
            <wp:extent cx="2532380" cy="1908175"/>
            <wp:effectExtent l="0" t="0" r="1270" b="15875"/>
            <wp:docPr id="6" name="图片 6" descr="QQ图片20210531093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QQ图片20210531093630"/>
                    <pic:cNvPicPr>
                      <a:picLocks noChangeAspect="1"/>
                    </pic:cNvPicPr>
                  </pic:nvPicPr>
                  <pic:blipFill>
                    <a:blip r:embed="rId27"/>
                    <a:stretch>
                      <a:fillRect/>
                    </a:stretch>
                  </pic:blipFill>
                  <pic:spPr>
                    <a:xfrm>
                      <a:off x="0" y="0"/>
                      <a:ext cx="2532380" cy="1908175"/>
                    </a:xfrm>
                    <a:prstGeom prst="rect">
                      <a:avLst/>
                    </a:prstGeom>
                  </pic:spPr>
                </pic:pic>
              </a:graphicData>
            </a:graphic>
          </wp:inline>
        </w:drawing>
      </w:r>
    </w:p>
    <w:p>
      <w:pPr>
        <w:pStyle w:val="15"/>
        <w:shd w:val="clear" w:color="auto" w:fill="FFFFFF"/>
        <w:spacing w:before="0" w:beforeAutospacing="0" w:after="0" w:afterAutospacing="0" w:line="360" w:lineRule="auto"/>
        <w:jc w:val="center"/>
        <w:rPr>
          <w:rFonts w:ascii="Times New Roman" w:hAnsi="Times New Roman"/>
        </w:rPr>
      </w:pPr>
      <w:r>
        <w:rPr>
          <w:rFonts w:ascii="Times New Roman" w:hAnsi="Times New Roman"/>
        </w:rPr>
        <w:drawing>
          <wp:inline distT="0" distB="0" distL="114300" distR="114300">
            <wp:extent cx="2580005" cy="1945005"/>
            <wp:effectExtent l="0" t="0" r="10795" b="17145"/>
            <wp:docPr id="8" name="图片 8" descr="QQ图片20211110152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QQ图片20211110152219"/>
                    <pic:cNvPicPr>
                      <a:picLocks noChangeAspect="1"/>
                    </pic:cNvPicPr>
                  </pic:nvPicPr>
                  <pic:blipFill>
                    <a:blip r:embed="rId28"/>
                    <a:stretch>
                      <a:fillRect/>
                    </a:stretch>
                  </pic:blipFill>
                  <pic:spPr>
                    <a:xfrm>
                      <a:off x="0" y="0"/>
                      <a:ext cx="2580005" cy="1945005"/>
                    </a:xfrm>
                    <a:prstGeom prst="rect">
                      <a:avLst/>
                    </a:prstGeom>
                  </pic:spPr>
                </pic:pic>
              </a:graphicData>
            </a:graphic>
          </wp:inline>
        </w:drawing>
      </w:r>
      <w:r>
        <w:rPr>
          <w:rFonts w:hint="eastAsia" w:ascii="Times New Roman" w:hAnsi="Times New Roman"/>
          <w:lang w:val="en-US" w:eastAsia="zh-CN"/>
        </w:rPr>
        <w:t xml:space="preserve"> </w:t>
      </w:r>
      <w:r>
        <w:rPr>
          <w:rFonts w:ascii="Times New Roman" w:hAnsi="Times New Roman"/>
        </w:rPr>
        <w:drawing>
          <wp:inline distT="0" distB="0" distL="114300" distR="114300">
            <wp:extent cx="2541905" cy="1945005"/>
            <wp:effectExtent l="0" t="0" r="10795" b="17145"/>
            <wp:docPr id="9" name="图片 9" descr="QQ图片20211110152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QQ图片20211110152214"/>
                    <pic:cNvPicPr>
                      <a:picLocks noChangeAspect="1"/>
                    </pic:cNvPicPr>
                  </pic:nvPicPr>
                  <pic:blipFill>
                    <a:blip r:embed="rId29"/>
                    <a:stretch>
                      <a:fillRect/>
                    </a:stretch>
                  </pic:blipFill>
                  <pic:spPr>
                    <a:xfrm>
                      <a:off x="0" y="0"/>
                      <a:ext cx="2541905" cy="1945005"/>
                    </a:xfrm>
                    <a:prstGeom prst="rect">
                      <a:avLst/>
                    </a:prstGeom>
                  </pic:spPr>
                </pic:pic>
              </a:graphicData>
            </a:graphic>
          </wp:inline>
        </w:drawing>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图1-</w:t>
      </w:r>
      <w:r>
        <w:rPr>
          <w:rFonts w:hint="eastAsia" w:ascii="Times New Roman" w:hAnsi="Times New Roman" w:cs="Times New Roman"/>
          <w:b/>
          <w:color w:val="000000" w:themeColor="text1"/>
          <w:kern w:val="2"/>
          <w:sz w:val="21"/>
          <w:szCs w:val="21"/>
          <w14:textFill>
            <w14:solidFill>
              <w14:schemeClr w14:val="tx1"/>
            </w14:solidFill>
          </w14:textFill>
        </w:rPr>
        <w:t>6</w:t>
      </w:r>
      <w:r>
        <w:rPr>
          <w:rFonts w:ascii="Times New Roman" w:hAnsi="Times New Roman" w:cs="Times New Roman"/>
          <w:b/>
          <w:color w:val="000000" w:themeColor="text1"/>
          <w:kern w:val="2"/>
          <w:sz w:val="21"/>
          <w:szCs w:val="21"/>
          <w14:textFill>
            <w14:solidFill>
              <w14:schemeClr w14:val="tx1"/>
            </w14:solidFill>
          </w14:textFill>
        </w:rPr>
        <w:t xml:space="preserve">  </w:t>
      </w:r>
      <w:r>
        <w:rPr>
          <w:rFonts w:hint="eastAsia" w:ascii="Times New Roman" w:hAnsi="Times New Roman" w:cs="Times New Roman"/>
          <w:b/>
          <w:color w:val="000000" w:themeColor="text1"/>
          <w:kern w:val="2"/>
          <w:sz w:val="21"/>
          <w:szCs w:val="21"/>
          <w14:textFill>
            <w14:solidFill>
              <w14:schemeClr w14:val="tx1"/>
            </w14:solidFill>
          </w14:textFill>
        </w:rPr>
        <w:t>校内</w:t>
      </w:r>
      <w:r>
        <w:rPr>
          <w:rFonts w:ascii="Times New Roman" w:hAnsi="Times New Roman" w:cs="Times New Roman"/>
          <w:b/>
          <w:color w:val="000000" w:themeColor="text1"/>
          <w:kern w:val="2"/>
          <w:sz w:val="21"/>
          <w:szCs w:val="21"/>
          <w14:textFill>
            <w14:solidFill>
              <w14:schemeClr w14:val="tx1"/>
            </w14:solidFill>
          </w14:textFill>
        </w:rPr>
        <w:t>实训室</w:t>
      </w:r>
    </w:p>
    <w:p>
      <w:pPr>
        <w:pStyle w:val="34"/>
        <w:spacing w:line="300" w:lineRule="auto"/>
        <w:ind w:firstLine="480"/>
        <w:rPr>
          <w:rFonts w:ascii="Times New Roman" w:hAnsi="Times New Roman" w:cs="Times New Roman"/>
          <w:b/>
          <w:color w:val="000000"/>
        </w:rPr>
      </w:pPr>
      <w:r>
        <w:rPr>
          <w:rFonts w:hint="eastAsia" w:ascii="Times New Roman" w:hAnsi="Times New Roman" w:cs="Times New Roman"/>
          <w:sz w:val="24"/>
          <w:szCs w:val="28"/>
        </w:rPr>
        <w:t>学校现有</w:t>
      </w:r>
      <w:r>
        <w:rPr>
          <w:rFonts w:ascii="Times New Roman" w:hAnsi="Times New Roman" w:cs="Times New Roman"/>
          <w:sz w:val="24"/>
          <w:szCs w:val="28"/>
        </w:rPr>
        <w:t>校外实训基地</w:t>
      </w:r>
      <w:r>
        <w:rPr>
          <w:rFonts w:hint="eastAsia" w:ascii="Times New Roman" w:hAnsi="Times New Roman" w:cs="Times New Roman"/>
          <w:sz w:val="24"/>
          <w:szCs w:val="28"/>
          <w:lang w:val="en-US" w:eastAsia="zh-CN"/>
        </w:rPr>
        <w:t>37</w:t>
      </w:r>
      <w:r>
        <w:rPr>
          <w:rFonts w:ascii="Times New Roman" w:hAnsi="Times New Roman" w:cs="Times New Roman"/>
          <w:sz w:val="24"/>
          <w:szCs w:val="28"/>
        </w:rPr>
        <w:t>个</w:t>
      </w:r>
      <w:r>
        <w:rPr>
          <w:rFonts w:hint="eastAsia" w:ascii="Times New Roman" w:hAnsi="Times New Roman" w:cs="Times New Roman"/>
          <w:sz w:val="24"/>
          <w:szCs w:val="28"/>
        </w:rPr>
        <w:t>，涵盖了学校的所有专业</w:t>
      </w:r>
      <w:r>
        <w:rPr>
          <w:rFonts w:ascii="Times New Roman" w:hAnsi="Times New Roman" w:cs="Times New Roman"/>
          <w:sz w:val="24"/>
          <w:szCs w:val="28"/>
        </w:rPr>
        <w:t>。</w:t>
      </w:r>
      <w:r>
        <w:rPr>
          <w:rFonts w:hint="eastAsia" w:ascii="Times New Roman" w:hAnsi="Times New Roman" w:cs="Times New Roman"/>
          <w:sz w:val="24"/>
          <w:szCs w:val="28"/>
        </w:rPr>
        <w:t>学校</w:t>
      </w:r>
      <w:r>
        <w:rPr>
          <w:rFonts w:ascii="Times New Roman" w:hAnsi="Times New Roman" w:cs="Times New Roman"/>
          <w:sz w:val="24"/>
          <w:szCs w:val="28"/>
        </w:rPr>
        <w:t>校外实习基地统计见表1</w:t>
      </w:r>
      <w:r>
        <w:rPr>
          <w:rFonts w:hint="eastAsia" w:ascii="Times New Roman" w:hAnsi="Times New Roman" w:cs="Times New Roman"/>
          <w:sz w:val="24"/>
          <w:szCs w:val="28"/>
        </w:rPr>
        <w:t>-7</w:t>
      </w:r>
      <w:r>
        <w:rPr>
          <w:rFonts w:ascii="Times New Roman" w:hAnsi="Times New Roman" w:cs="Times New Roman"/>
          <w:sz w:val="24"/>
          <w:szCs w:val="28"/>
        </w:rPr>
        <w:t>。</w:t>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表1-</w:t>
      </w:r>
      <w:r>
        <w:rPr>
          <w:rFonts w:hint="eastAsia" w:ascii="Times New Roman" w:hAnsi="Times New Roman" w:cs="Times New Roman"/>
          <w:b/>
          <w:color w:val="000000" w:themeColor="text1"/>
          <w:kern w:val="2"/>
          <w:sz w:val="21"/>
          <w:szCs w:val="21"/>
          <w14:textFill>
            <w14:solidFill>
              <w14:schemeClr w14:val="tx1"/>
            </w14:solidFill>
          </w14:textFill>
        </w:rPr>
        <w:t>7</w:t>
      </w:r>
      <w:r>
        <w:rPr>
          <w:rFonts w:ascii="Times New Roman" w:hAnsi="Times New Roman" w:cs="Times New Roman"/>
          <w:b/>
          <w:color w:val="000000" w:themeColor="text1"/>
          <w:kern w:val="2"/>
          <w:sz w:val="21"/>
          <w:szCs w:val="21"/>
          <w14:textFill>
            <w14:solidFill>
              <w14:schemeClr w14:val="tx1"/>
            </w14:solidFill>
          </w14:textFill>
        </w:rPr>
        <w:t xml:space="preserve">  校外实习基地统计</w:t>
      </w:r>
    </w:p>
    <w:tbl>
      <w:tblPr>
        <w:tblStyle w:val="17"/>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5"/>
        <w:gridCol w:w="5161"/>
        <w:gridCol w:w="25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805" w:type="dxa"/>
            <w:shd w:val="clear" w:color="auto" w:fill="C7DAF1" w:themeFill="text2" w:themeFillTint="32"/>
            <w:noWrap w:val="0"/>
            <w:vAlign w:val="center"/>
          </w:tcPr>
          <w:p>
            <w:pPr>
              <w:jc w:val="center"/>
              <w:rPr>
                <w:rFonts w:ascii="Times New Roman" w:hAnsi="Times New Roman"/>
                <w:b/>
                <w:bCs w:val="0"/>
                <w:color w:val="auto"/>
                <w:szCs w:val="21"/>
              </w:rPr>
            </w:pPr>
            <w:r>
              <w:rPr>
                <w:rFonts w:ascii="Times New Roman" w:hAnsi="Times New Roman"/>
                <w:b/>
                <w:bCs w:val="0"/>
                <w:color w:val="auto"/>
                <w:szCs w:val="21"/>
              </w:rPr>
              <w:t>序号</w:t>
            </w:r>
          </w:p>
        </w:tc>
        <w:tc>
          <w:tcPr>
            <w:tcW w:w="5161" w:type="dxa"/>
            <w:shd w:val="clear" w:color="auto" w:fill="C7DAF1" w:themeFill="text2" w:themeFillTint="32"/>
            <w:noWrap w:val="0"/>
            <w:vAlign w:val="center"/>
          </w:tcPr>
          <w:p>
            <w:pPr>
              <w:widowControl/>
              <w:jc w:val="center"/>
              <w:rPr>
                <w:rFonts w:hint="eastAsia" w:ascii="Times New Roman" w:hAnsi="Times New Roman" w:cs="宋体"/>
                <w:b/>
                <w:bCs w:val="0"/>
                <w:color w:val="auto"/>
                <w:kern w:val="0"/>
                <w:szCs w:val="21"/>
              </w:rPr>
            </w:pPr>
            <w:r>
              <w:rPr>
                <w:rFonts w:hint="eastAsia" w:ascii="Times New Roman" w:hAnsi="Times New Roman" w:cs="宋体"/>
                <w:b/>
                <w:bCs w:val="0"/>
                <w:color w:val="auto"/>
                <w:kern w:val="0"/>
                <w:szCs w:val="21"/>
              </w:rPr>
              <w:t>校外实习基地名称</w:t>
            </w:r>
          </w:p>
        </w:tc>
        <w:tc>
          <w:tcPr>
            <w:tcW w:w="2554" w:type="dxa"/>
            <w:shd w:val="clear" w:color="auto" w:fill="C7DAF1" w:themeFill="text2" w:themeFillTint="32"/>
            <w:noWrap w:val="0"/>
            <w:vAlign w:val="center"/>
          </w:tcPr>
          <w:p>
            <w:pPr>
              <w:widowControl/>
              <w:jc w:val="center"/>
              <w:rPr>
                <w:rFonts w:hint="eastAsia" w:ascii="Times New Roman" w:hAnsi="Times New Roman" w:eastAsia="宋体" w:cs="宋体"/>
                <w:b/>
                <w:bCs w:val="0"/>
                <w:color w:val="auto"/>
                <w:kern w:val="0"/>
                <w:sz w:val="21"/>
                <w:szCs w:val="21"/>
                <w:lang w:val="en-US" w:eastAsia="zh-CN" w:bidi="ar-SA"/>
              </w:rPr>
            </w:pPr>
            <w:r>
              <w:rPr>
                <w:rFonts w:hint="eastAsia" w:ascii="Times New Roman" w:hAnsi="Times New Roman" w:cs="宋体"/>
                <w:b/>
                <w:bCs w:val="0"/>
                <w:color w:val="auto"/>
                <w:kern w:val="0"/>
                <w:szCs w:val="21"/>
              </w:rPr>
              <w:t>专业名称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ascii="Times New Roman" w:hAnsi="Times New Roman"/>
                <w:color w:val="auto"/>
                <w:szCs w:val="21"/>
              </w:rPr>
              <w:t>1</w:t>
            </w:r>
          </w:p>
        </w:tc>
        <w:tc>
          <w:tcPr>
            <w:tcW w:w="5161" w:type="dxa"/>
            <w:noWrap w:val="0"/>
            <w:vAlign w:val="center"/>
          </w:tcPr>
          <w:p>
            <w:pPr>
              <w:widowControl/>
              <w:jc w:val="center"/>
              <w:rPr>
                <w:rFonts w:hint="eastAsia" w:ascii="Times New Roman" w:hAnsi="Times New Roman" w:cs="宋体"/>
                <w:color w:val="auto"/>
                <w:kern w:val="0"/>
                <w:szCs w:val="21"/>
              </w:rPr>
            </w:pPr>
            <w:r>
              <w:rPr>
                <w:rFonts w:hint="eastAsia" w:ascii="Times New Roman" w:hAnsi="Times New Roman" w:cs="宋体"/>
                <w:color w:val="auto"/>
                <w:kern w:val="0"/>
                <w:sz w:val="21"/>
                <w:szCs w:val="21"/>
                <w:lang w:bidi="ar"/>
              </w:rPr>
              <w:t>德令哈众通汽车销售服务有限公司</w:t>
            </w:r>
          </w:p>
        </w:tc>
        <w:tc>
          <w:tcPr>
            <w:tcW w:w="2554" w:type="dxa"/>
            <w:vMerge w:val="restart"/>
            <w:noWrap w:val="0"/>
            <w:vAlign w:val="center"/>
          </w:tcPr>
          <w:p>
            <w:pPr>
              <w:widowControl/>
              <w:jc w:val="center"/>
              <w:rPr>
                <w:rFonts w:hint="eastAsia" w:ascii="Times New Roman" w:hAnsi="Times New Roman" w:eastAsia="宋体" w:cs="宋体"/>
                <w:color w:val="auto"/>
                <w:kern w:val="0"/>
                <w:sz w:val="21"/>
                <w:szCs w:val="21"/>
                <w:lang w:val="en-US" w:eastAsia="zh-CN" w:bidi="ar-SA"/>
              </w:rPr>
            </w:pPr>
            <w:r>
              <w:rPr>
                <w:rFonts w:hint="eastAsia" w:ascii="Times New Roman" w:hAnsi="Times New Roman" w:cs="宋体"/>
                <w:color w:val="auto"/>
                <w:kern w:val="0"/>
                <w:szCs w:val="21"/>
              </w:rPr>
              <w:t>汽车运用与维修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hint="eastAsia" w:ascii="Times New Roman" w:hAnsi="Times New Roman" w:eastAsia="宋体"/>
                <w:color w:val="auto"/>
                <w:szCs w:val="21"/>
                <w:lang w:val="en-US" w:eastAsia="zh-CN"/>
              </w:rPr>
            </w:pPr>
            <w:r>
              <w:rPr>
                <w:rFonts w:hint="eastAsia" w:ascii="Times New Roman" w:hAnsi="Times New Roman"/>
                <w:color w:val="auto"/>
                <w:szCs w:val="21"/>
                <w:lang w:val="en-US" w:eastAsia="zh-CN"/>
              </w:rPr>
              <w:t>2</w:t>
            </w:r>
          </w:p>
        </w:tc>
        <w:tc>
          <w:tcPr>
            <w:tcW w:w="5161" w:type="dxa"/>
            <w:noWrap w:val="0"/>
            <w:vAlign w:val="center"/>
          </w:tcPr>
          <w:p>
            <w:pPr>
              <w:widowControl/>
              <w:jc w:val="center"/>
              <w:rPr>
                <w:rFonts w:hint="eastAsia" w:ascii="Times New Roman" w:hAnsi="Times New Roman" w:cs="宋体"/>
                <w:color w:val="auto"/>
                <w:kern w:val="0"/>
                <w:szCs w:val="21"/>
              </w:rPr>
            </w:pPr>
            <w:r>
              <w:rPr>
                <w:rFonts w:hint="eastAsia" w:ascii="Times New Roman" w:hAnsi="Times New Roman" w:cs="宋体"/>
                <w:color w:val="auto"/>
                <w:kern w:val="0"/>
                <w:sz w:val="21"/>
                <w:szCs w:val="21"/>
                <w:lang w:bidi="ar"/>
              </w:rPr>
              <w:t>德令哈鑫轮汽车销售服务有限公司</w:t>
            </w:r>
          </w:p>
        </w:tc>
        <w:tc>
          <w:tcPr>
            <w:tcW w:w="2554" w:type="dxa"/>
            <w:vMerge w:val="continue"/>
            <w:noWrap w:val="0"/>
            <w:vAlign w:val="center"/>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hint="eastAsia" w:ascii="Times New Roman" w:hAnsi="Times New Roman" w:eastAsia="宋体"/>
                <w:color w:val="auto"/>
                <w:szCs w:val="21"/>
                <w:lang w:val="en-US" w:eastAsia="zh-CN"/>
              </w:rPr>
            </w:pPr>
            <w:r>
              <w:rPr>
                <w:rFonts w:hint="eastAsia" w:ascii="Times New Roman" w:hAnsi="Times New Roman"/>
                <w:color w:val="auto"/>
                <w:szCs w:val="21"/>
                <w:lang w:val="en-US" w:eastAsia="zh-CN"/>
              </w:rPr>
              <w:t>3</w:t>
            </w:r>
          </w:p>
        </w:tc>
        <w:tc>
          <w:tcPr>
            <w:tcW w:w="5161" w:type="dxa"/>
            <w:noWrap w:val="0"/>
            <w:vAlign w:val="center"/>
          </w:tcPr>
          <w:p>
            <w:pPr>
              <w:widowControl/>
              <w:jc w:val="center"/>
              <w:rPr>
                <w:rFonts w:hint="eastAsia" w:ascii="Times New Roman" w:hAnsi="Times New Roman" w:cs="宋体"/>
                <w:color w:val="auto"/>
                <w:kern w:val="0"/>
                <w:szCs w:val="21"/>
              </w:rPr>
            </w:pPr>
            <w:r>
              <w:rPr>
                <w:rFonts w:hint="eastAsia" w:ascii="Times New Roman" w:hAnsi="Times New Roman" w:cs="宋体"/>
                <w:color w:val="auto"/>
                <w:kern w:val="0"/>
                <w:sz w:val="21"/>
                <w:szCs w:val="21"/>
                <w:lang w:bidi="ar"/>
              </w:rPr>
              <w:t>德令哈宝志汽车销售服务有限公司</w:t>
            </w:r>
          </w:p>
        </w:tc>
        <w:tc>
          <w:tcPr>
            <w:tcW w:w="2554" w:type="dxa"/>
            <w:vMerge w:val="continue"/>
            <w:noWrap w:val="0"/>
            <w:vAlign w:val="center"/>
          </w:tcPr>
          <w:p>
            <w:pPr>
              <w:widowControl/>
              <w:ind w:firstLine="0" w:firstLineChars="0"/>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4</w:t>
            </w:r>
          </w:p>
        </w:tc>
        <w:tc>
          <w:tcPr>
            <w:tcW w:w="5161" w:type="dxa"/>
            <w:noWrap w:val="0"/>
            <w:vAlign w:val="center"/>
          </w:tcPr>
          <w:p>
            <w:pPr>
              <w:widowControl/>
              <w:jc w:val="center"/>
              <w:rPr>
                <w:rFonts w:hint="eastAsia" w:ascii="Times New Roman" w:hAnsi="Times New Roman" w:cs="宋体"/>
                <w:color w:val="auto"/>
                <w:kern w:val="0"/>
                <w:szCs w:val="21"/>
              </w:rPr>
            </w:pPr>
            <w:r>
              <w:rPr>
                <w:rFonts w:hint="eastAsia" w:ascii="Times New Roman" w:hAnsi="Times New Roman" w:cs="宋体"/>
                <w:color w:val="auto"/>
                <w:kern w:val="0"/>
                <w:szCs w:val="21"/>
              </w:rPr>
              <w:t>湖南原社动漫设计有限公司</w:t>
            </w:r>
          </w:p>
        </w:tc>
        <w:tc>
          <w:tcPr>
            <w:tcW w:w="2554" w:type="dxa"/>
            <w:noWrap w:val="0"/>
            <w:vAlign w:val="center"/>
          </w:tcPr>
          <w:p>
            <w:pPr>
              <w:widowControl/>
              <w:jc w:val="center"/>
              <w:rPr>
                <w:rFonts w:hint="eastAsia" w:ascii="Times New Roman" w:hAnsi="Times New Roman" w:eastAsia="宋体" w:cs="宋体"/>
                <w:color w:val="auto"/>
                <w:kern w:val="0"/>
                <w:sz w:val="21"/>
                <w:szCs w:val="21"/>
                <w:lang w:val="en-US" w:eastAsia="zh-CN" w:bidi="ar-SA"/>
              </w:rPr>
            </w:pPr>
            <w:r>
              <w:rPr>
                <w:rFonts w:hint="eastAsia" w:ascii="Times New Roman" w:hAnsi="Times New Roman" w:cs="宋体"/>
                <w:color w:val="auto"/>
                <w:kern w:val="0"/>
                <w:szCs w:val="21"/>
              </w:rPr>
              <w:t>计算机应用技术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5</w:t>
            </w:r>
          </w:p>
        </w:tc>
        <w:tc>
          <w:tcPr>
            <w:tcW w:w="5161" w:type="dxa"/>
            <w:noWrap w:val="0"/>
            <w:vAlign w:val="center"/>
          </w:tcPr>
          <w:p>
            <w:pPr>
              <w:widowControl/>
              <w:jc w:val="center"/>
              <w:rPr>
                <w:rFonts w:hint="eastAsia" w:ascii="Times New Roman" w:hAnsi="Times New Roman" w:cs="宋体"/>
                <w:color w:val="auto"/>
                <w:kern w:val="0"/>
                <w:szCs w:val="21"/>
              </w:rPr>
            </w:pPr>
            <w:r>
              <w:rPr>
                <w:rFonts w:hint="eastAsia" w:ascii="Times New Roman" w:hAnsi="Times New Roman" w:cs="宋体"/>
                <w:color w:val="auto"/>
                <w:kern w:val="0"/>
                <w:sz w:val="21"/>
                <w:szCs w:val="21"/>
              </w:rPr>
              <w:t>青海中浩天然气化工有限公司</w:t>
            </w:r>
          </w:p>
        </w:tc>
        <w:tc>
          <w:tcPr>
            <w:tcW w:w="2554" w:type="dxa"/>
            <w:vMerge w:val="restart"/>
            <w:noWrap w:val="0"/>
            <w:vAlign w:val="center"/>
          </w:tcPr>
          <w:p>
            <w:pPr>
              <w:widowControl/>
              <w:jc w:val="center"/>
              <w:rPr>
                <w:rFonts w:hint="eastAsia" w:ascii="Times New Roman" w:hAnsi="Times New Roman" w:eastAsia="宋体" w:cs="宋体"/>
                <w:color w:val="auto"/>
                <w:kern w:val="0"/>
                <w:sz w:val="21"/>
                <w:szCs w:val="21"/>
                <w:lang w:val="en-US" w:eastAsia="zh-CN" w:bidi="ar-SA"/>
              </w:rPr>
            </w:pPr>
            <w:r>
              <w:rPr>
                <w:rFonts w:hint="eastAsia" w:ascii="Times New Roman" w:hAnsi="Times New Roman" w:cs="宋体"/>
                <w:color w:val="auto"/>
                <w:kern w:val="0"/>
                <w:szCs w:val="21"/>
              </w:rPr>
              <w:t>机电技术应用、电气运行与控制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6</w:t>
            </w:r>
          </w:p>
        </w:tc>
        <w:tc>
          <w:tcPr>
            <w:tcW w:w="5161" w:type="dxa"/>
            <w:noWrap w:val="0"/>
            <w:vAlign w:val="center"/>
          </w:tcPr>
          <w:p>
            <w:pPr>
              <w:widowControl/>
              <w:jc w:val="center"/>
              <w:rPr>
                <w:rFonts w:hint="eastAsia" w:ascii="Times New Roman" w:hAnsi="Times New Roman" w:cs="宋体"/>
                <w:color w:val="auto"/>
                <w:kern w:val="0"/>
                <w:szCs w:val="21"/>
              </w:rPr>
            </w:pPr>
            <w:r>
              <w:rPr>
                <w:rFonts w:hint="eastAsia" w:ascii="Times New Roman" w:hAnsi="Times New Roman" w:cs="宋体"/>
                <w:color w:val="auto"/>
                <w:kern w:val="0"/>
                <w:sz w:val="21"/>
                <w:szCs w:val="21"/>
              </w:rPr>
              <w:t>青海陕鼓能源有限公司</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7</w:t>
            </w:r>
          </w:p>
        </w:tc>
        <w:tc>
          <w:tcPr>
            <w:tcW w:w="5161" w:type="dxa"/>
            <w:noWrap w:val="0"/>
            <w:vAlign w:val="center"/>
          </w:tcPr>
          <w:p>
            <w:pPr>
              <w:widowControl/>
              <w:jc w:val="center"/>
              <w:rPr>
                <w:rFonts w:hint="eastAsia" w:ascii="Times New Roman" w:hAnsi="Times New Roman" w:cs="宋体"/>
                <w:color w:val="auto"/>
                <w:kern w:val="0"/>
                <w:szCs w:val="21"/>
              </w:rPr>
            </w:pPr>
            <w:r>
              <w:rPr>
                <w:rFonts w:hint="eastAsia" w:ascii="Times New Roman" w:hAnsi="Times New Roman" w:cs="宋体"/>
                <w:color w:val="auto"/>
                <w:kern w:val="0"/>
                <w:sz w:val="21"/>
                <w:szCs w:val="21"/>
              </w:rPr>
              <w:t>五矿盐湖有限公司</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8</w:t>
            </w:r>
          </w:p>
        </w:tc>
        <w:tc>
          <w:tcPr>
            <w:tcW w:w="5161" w:type="dxa"/>
            <w:noWrap w:val="0"/>
            <w:vAlign w:val="center"/>
          </w:tcPr>
          <w:p>
            <w:pPr>
              <w:widowControl/>
              <w:jc w:val="center"/>
              <w:rPr>
                <w:rFonts w:hint="eastAsia" w:ascii="Times New Roman" w:hAnsi="Times New Roman" w:cs="宋体"/>
                <w:color w:val="auto"/>
                <w:kern w:val="0"/>
                <w:szCs w:val="21"/>
              </w:rPr>
            </w:pPr>
            <w:r>
              <w:rPr>
                <w:rFonts w:hint="eastAsia" w:ascii="Times New Roman" w:hAnsi="Times New Roman" w:cs="宋体"/>
                <w:color w:val="auto"/>
                <w:kern w:val="0"/>
                <w:sz w:val="21"/>
                <w:szCs w:val="21"/>
              </w:rPr>
              <w:t>冷湖滨地钾肥有限责任公司</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9</w:t>
            </w:r>
          </w:p>
        </w:tc>
        <w:tc>
          <w:tcPr>
            <w:tcW w:w="5161" w:type="dxa"/>
            <w:noWrap w:val="0"/>
            <w:vAlign w:val="center"/>
          </w:tcPr>
          <w:p>
            <w:pPr>
              <w:widowControl/>
              <w:jc w:val="center"/>
              <w:rPr>
                <w:rFonts w:hint="eastAsia" w:ascii="Times New Roman" w:hAnsi="Times New Roman" w:cs="宋体"/>
                <w:color w:val="auto"/>
                <w:kern w:val="0"/>
                <w:szCs w:val="21"/>
              </w:rPr>
            </w:pPr>
            <w:r>
              <w:rPr>
                <w:rFonts w:hint="eastAsia" w:ascii="Times New Roman" w:hAnsi="Times New Roman" w:cs="宋体"/>
                <w:color w:val="auto"/>
                <w:kern w:val="0"/>
                <w:sz w:val="21"/>
                <w:szCs w:val="21"/>
              </w:rPr>
              <w:t>青海锦泰钾肥有限公司</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10</w:t>
            </w:r>
          </w:p>
        </w:tc>
        <w:tc>
          <w:tcPr>
            <w:tcW w:w="5161" w:type="dxa"/>
            <w:noWrap w:val="0"/>
            <w:vAlign w:val="center"/>
          </w:tcPr>
          <w:p>
            <w:pPr>
              <w:widowControl/>
              <w:jc w:val="center"/>
              <w:rPr>
                <w:rFonts w:hint="eastAsia" w:ascii="Times New Roman" w:hAnsi="Times New Roman" w:cs="宋体"/>
                <w:color w:val="auto"/>
                <w:kern w:val="0"/>
                <w:szCs w:val="21"/>
              </w:rPr>
            </w:pPr>
            <w:r>
              <w:rPr>
                <w:rFonts w:hint="eastAsia" w:ascii="Times New Roman" w:hAnsi="Times New Roman" w:cs="宋体"/>
                <w:color w:val="auto"/>
                <w:kern w:val="0"/>
                <w:sz w:val="21"/>
                <w:szCs w:val="21"/>
              </w:rPr>
              <w:t>格尔木藏歌钾肥有限公司</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11</w:t>
            </w:r>
          </w:p>
        </w:tc>
        <w:tc>
          <w:tcPr>
            <w:tcW w:w="5161" w:type="dxa"/>
            <w:noWrap w:val="0"/>
            <w:vAlign w:val="center"/>
          </w:tcPr>
          <w:p>
            <w:pPr>
              <w:widowControl/>
              <w:jc w:val="center"/>
              <w:rPr>
                <w:rFonts w:hint="eastAsia" w:ascii="Times New Roman" w:hAnsi="Times New Roman" w:cs="宋体"/>
                <w:color w:val="auto"/>
                <w:kern w:val="0"/>
                <w:szCs w:val="21"/>
              </w:rPr>
            </w:pPr>
            <w:r>
              <w:rPr>
                <w:rFonts w:hint="eastAsia" w:ascii="Times New Roman" w:hAnsi="Times New Roman" w:cs="宋体"/>
                <w:color w:val="auto"/>
                <w:kern w:val="0"/>
                <w:sz w:val="21"/>
                <w:szCs w:val="21"/>
              </w:rPr>
              <w:t>哈密广汇环保科技有限公司</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12</w:t>
            </w:r>
          </w:p>
        </w:tc>
        <w:tc>
          <w:tcPr>
            <w:tcW w:w="5161" w:type="dxa"/>
            <w:noWrap w:val="0"/>
            <w:vAlign w:val="center"/>
          </w:tcPr>
          <w:p>
            <w:pPr>
              <w:widowControl/>
              <w:jc w:val="center"/>
              <w:rPr>
                <w:rFonts w:hint="eastAsia" w:ascii="Times New Roman" w:hAnsi="Times New Roman" w:cs="宋体"/>
                <w:color w:val="auto"/>
                <w:kern w:val="0"/>
                <w:sz w:val="21"/>
                <w:szCs w:val="21"/>
              </w:rPr>
            </w:pPr>
            <w:r>
              <w:rPr>
                <w:rFonts w:hint="eastAsia" w:ascii="Times New Roman" w:hAnsi="Times New Roman" w:cs="宋体"/>
                <w:color w:val="auto"/>
                <w:kern w:val="0"/>
                <w:sz w:val="21"/>
                <w:szCs w:val="21"/>
              </w:rPr>
              <w:t>青海中航资源有限公司</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13</w:t>
            </w:r>
          </w:p>
        </w:tc>
        <w:tc>
          <w:tcPr>
            <w:tcW w:w="5161" w:type="dxa"/>
            <w:noWrap w:val="0"/>
            <w:vAlign w:val="center"/>
          </w:tcPr>
          <w:p>
            <w:pPr>
              <w:widowControl/>
              <w:jc w:val="center"/>
              <w:rPr>
                <w:rFonts w:hint="eastAsia" w:ascii="Times New Roman" w:hAnsi="Times New Roman" w:cs="宋体"/>
                <w:color w:val="auto"/>
                <w:kern w:val="0"/>
                <w:sz w:val="21"/>
                <w:szCs w:val="21"/>
              </w:rPr>
            </w:pPr>
            <w:r>
              <w:rPr>
                <w:rFonts w:hint="eastAsia" w:ascii="Times New Roman" w:hAnsi="Times New Roman" w:cs="宋体"/>
                <w:color w:val="auto"/>
                <w:kern w:val="0"/>
                <w:sz w:val="21"/>
                <w:szCs w:val="21"/>
              </w:rPr>
              <w:fldChar w:fldCharType="begin"/>
            </w:r>
            <w:r>
              <w:rPr>
                <w:rFonts w:hint="eastAsia" w:ascii="Times New Roman" w:hAnsi="Times New Roman" w:cs="宋体"/>
                <w:color w:val="auto"/>
                <w:kern w:val="0"/>
                <w:sz w:val="21"/>
                <w:szCs w:val="21"/>
              </w:rPr>
              <w:instrText xml:space="preserve"> HYPERLINK "https://www.tianyancha.com/company/2324225610" \t "https://www.tianyancha.com/_blank" </w:instrText>
            </w:r>
            <w:r>
              <w:rPr>
                <w:rFonts w:hint="eastAsia" w:ascii="Times New Roman" w:hAnsi="Times New Roman" w:cs="宋体"/>
                <w:color w:val="auto"/>
                <w:kern w:val="0"/>
                <w:sz w:val="21"/>
                <w:szCs w:val="21"/>
              </w:rPr>
              <w:fldChar w:fldCharType="separate"/>
            </w:r>
            <w:r>
              <w:rPr>
                <w:rFonts w:hint="eastAsia" w:ascii="Times New Roman" w:hAnsi="Times New Roman" w:cs="宋体"/>
                <w:color w:val="auto"/>
                <w:kern w:val="0"/>
                <w:sz w:val="21"/>
                <w:szCs w:val="21"/>
              </w:rPr>
              <w:t>青海兴明电力材料有限公司</w:t>
            </w:r>
            <w:r>
              <w:rPr>
                <w:rFonts w:hint="eastAsia" w:ascii="Times New Roman" w:hAnsi="Times New Roman" w:cs="宋体"/>
                <w:color w:val="auto"/>
                <w:kern w:val="0"/>
                <w:sz w:val="21"/>
                <w:szCs w:val="21"/>
              </w:rPr>
              <w:fldChar w:fldCharType="end"/>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14</w:t>
            </w:r>
          </w:p>
        </w:tc>
        <w:tc>
          <w:tcPr>
            <w:tcW w:w="5161" w:type="dxa"/>
            <w:noWrap w:val="0"/>
            <w:vAlign w:val="center"/>
          </w:tcPr>
          <w:p>
            <w:pPr>
              <w:widowControl/>
              <w:jc w:val="center"/>
              <w:rPr>
                <w:rFonts w:hint="eastAsia" w:ascii="Times New Roman" w:hAnsi="Times New Roman" w:cs="宋体"/>
                <w:color w:val="auto"/>
                <w:kern w:val="0"/>
                <w:sz w:val="21"/>
                <w:szCs w:val="21"/>
              </w:rPr>
            </w:pPr>
            <w:r>
              <w:rPr>
                <w:rFonts w:hint="eastAsia" w:ascii="Times New Roman" w:hAnsi="Times New Roman" w:cs="宋体"/>
                <w:color w:val="auto"/>
                <w:kern w:val="0"/>
                <w:sz w:val="21"/>
                <w:szCs w:val="21"/>
              </w:rPr>
              <w:t>青海中控太阳能发电有限公司</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15</w:t>
            </w:r>
          </w:p>
        </w:tc>
        <w:tc>
          <w:tcPr>
            <w:tcW w:w="5161" w:type="dxa"/>
            <w:noWrap w:val="0"/>
            <w:vAlign w:val="center"/>
          </w:tcPr>
          <w:p>
            <w:pPr>
              <w:widowControl/>
              <w:jc w:val="center"/>
              <w:rPr>
                <w:rFonts w:hint="eastAsia" w:ascii="Times New Roman" w:hAnsi="Times New Roman" w:cs="宋体"/>
                <w:color w:val="auto"/>
                <w:kern w:val="0"/>
                <w:sz w:val="21"/>
                <w:szCs w:val="21"/>
              </w:rPr>
            </w:pPr>
            <w:r>
              <w:rPr>
                <w:rFonts w:hint="eastAsia" w:ascii="Times New Roman" w:hAnsi="Times New Roman" w:eastAsia="宋体" w:cs="宋体"/>
                <w:color w:val="auto"/>
                <w:kern w:val="0"/>
                <w:sz w:val="21"/>
                <w:szCs w:val="21"/>
                <w:shd w:val="clear"/>
              </w:rPr>
              <w:t>青海启迪清源新材料有限公司</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16</w:t>
            </w:r>
          </w:p>
        </w:tc>
        <w:tc>
          <w:tcPr>
            <w:tcW w:w="5161" w:type="dxa"/>
            <w:noWrap w:val="0"/>
            <w:vAlign w:val="center"/>
          </w:tcPr>
          <w:p>
            <w:pPr>
              <w:widowControl/>
              <w:jc w:val="center"/>
              <w:rPr>
                <w:rFonts w:hint="eastAsia" w:ascii="Times New Roman" w:hAnsi="Times New Roman" w:cs="宋体"/>
                <w:color w:val="auto"/>
                <w:kern w:val="0"/>
                <w:sz w:val="21"/>
                <w:szCs w:val="21"/>
              </w:rPr>
            </w:pPr>
            <w:r>
              <w:rPr>
                <w:rFonts w:hint="eastAsia" w:ascii="Times New Roman" w:hAnsi="Times New Roman" w:cs="宋体"/>
                <w:color w:val="auto"/>
                <w:kern w:val="0"/>
                <w:sz w:val="21"/>
                <w:szCs w:val="21"/>
              </w:rPr>
              <w:t>金昆仑锂业有限公司</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17</w:t>
            </w:r>
          </w:p>
        </w:tc>
        <w:tc>
          <w:tcPr>
            <w:tcW w:w="5161" w:type="dxa"/>
            <w:noWrap w:val="0"/>
            <w:vAlign w:val="center"/>
          </w:tcPr>
          <w:p>
            <w:pPr>
              <w:widowControl/>
              <w:jc w:val="center"/>
              <w:rPr>
                <w:rFonts w:hint="eastAsia" w:ascii="Times New Roman" w:hAnsi="Times New Roman" w:cs="宋体"/>
                <w:color w:val="auto"/>
                <w:kern w:val="0"/>
                <w:sz w:val="21"/>
                <w:szCs w:val="21"/>
              </w:rPr>
            </w:pPr>
            <w:r>
              <w:rPr>
                <w:rFonts w:hint="eastAsia" w:ascii="Times New Roman" w:hAnsi="Times New Roman" w:cs="宋体"/>
                <w:color w:val="auto"/>
                <w:kern w:val="0"/>
                <w:sz w:val="21"/>
                <w:szCs w:val="21"/>
              </w:rPr>
              <w:t>青海金功新能源技术有限公司</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18</w:t>
            </w:r>
          </w:p>
        </w:tc>
        <w:tc>
          <w:tcPr>
            <w:tcW w:w="5161" w:type="dxa"/>
            <w:noWrap w:val="0"/>
            <w:vAlign w:val="center"/>
          </w:tcPr>
          <w:p>
            <w:pPr>
              <w:widowControl/>
              <w:jc w:val="center"/>
              <w:rPr>
                <w:rFonts w:hint="eastAsia" w:ascii="Times New Roman" w:hAnsi="Times New Roman" w:cs="宋体"/>
                <w:color w:val="auto"/>
                <w:kern w:val="0"/>
                <w:szCs w:val="21"/>
              </w:rPr>
            </w:pPr>
            <w:r>
              <w:rPr>
                <w:rFonts w:hint="eastAsia" w:ascii="Times New Roman" w:hAnsi="Times New Roman" w:cs="宋体"/>
                <w:color w:val="auto"/>
                <w:kern w:val="0"/>
                <w:szCs w:val="21"/>
              </w:rPr>
              <w:t>青海明阳新能源有限公司</w:t>
            </w:r>
          </w:p>
        </w:tc>
        <w:tc>
          <w:tcPr>
            <w:tcW w:w="2554" w:type="dxa"/>
            <w:noWrap w:val="0"/>
            <w:vAlign w:val="center"/>
          </w:tcPr>
          <w:p>
            <w:pPr>
              <w:widowControl/>
              <w:jc w:val="center"/>
              <w:rPr>
                <w:rFonts w:hint="eastAsia" w:ascii="Times New Roman" w:hAnsi="Times New Roman" w:eastAsia="宋体" w:cs="宋体"/>
                <w:color w:val="auto"/>
                <w:kern w:val="0"/>
                <w:sz w:val="21"/>
                <w:szCs w:val="21"/>
                <w:lang w:val="en-US" w:eastAsia="zh-CN" w:bidi="ar-SA"/>
              </w:rPr>
            </w:pPr>
            <w:r>
              <w:rPr>
                <w:rFonts w:hint="eastAsia" w:ascii="Times New Roman" w:hAnsi="Times New Roman" w:cs="宋体"/>
                <w:color w:val="auto"/>
                <w:kern w:val="0"/>
                <w:szCs w:val="21"/>
              </w:rPr>
              <w:t>化工机械与设备专业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19</w:t>
            </w:r>
          </w:p>
        </w:tc>
        <w:tc>
          <w:tcPr>
            <w:tcW w:w="5161" w:type="dxa"/>
            <w:noWrap w:val="0"/>
            <w:vAlign w:val="center"/>
          </w:tcPr>
          <w:p>
            <w:pPr>
              <w:widowControl/>
              <w:jc w:val="center"/>
              <w:rPr>
                <w:rFonts w:hint="eastAsia" w:ascii="Times New Roman" w:hAnsi="Times New Roman" w:cs="宋体"/>
                <w:color w:val="auto"/>
                <w:kern w:val="0"/>
                <w:szCs w:val="21"/>
              </w:rPr>
            </w:pPr>
            <w:r>
              <w:rPr>
                <w:rFonts w:hint="eastAsia" w:ascii="Times New Roman" w:hAnsi="Times New Roman" w:cs="宋体"/>
                <w:color w:val="auto"/>
                <w:kern w:val="0"/>
                <w:szCs w:val="21"/>
              </w:rPr>
              <w:t>高正材料科技有限公司</w:t>
            </w:r>
          </w:p>
        </w:tc>
        <w:tc>
          <w:tcPr>
            <w:tcW w:w="2554" w:type="dxa"/>
            <w:noWrap w:val="0"/>
            <w:vAlign w:val="center"/>
          </w:tcPr>
          <w:p>
            <w:pPr>
              <w:widowControl/>
              <w:jc w:val="center"/>
              <w:rPr>
                <w:rFonts w:hint="eastAsia" w:ascii="Times New Roman" w:hAnsi="Times New Roman" w:eastAsia="宋体" w:cs="宋体"/>
                <w:color w:val="auto"/>
                <w:kern w:val="0"/>
                <w:sz w:val="21"/>
                <w:szCs w:val="21"/>
                <w:lang w:val="en-US" w:eastAsia="zh-CN" w:bidi="ar-SA"/>
              </w:rPr>
            </w:pPr>
            <w:r>
              <w:rPr>
                <w:rFonts w:hint="eastAsia" w:ascii="Times New Roman" w:hAnsi="Times New Roman" w:cs="宋体"/>
                <w:color w:val="auto"/>
                <w:kern w:val="0"/>
                <w:szCs w:val="21"/>
              </w:rPr>
              <w:t>化学工艺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20</w:t>
            </w:r>
          </w:p>
        </w:tc>
        <w:tc>
          <w:tcPr>
            <w:tcW w:w="5161" w:type="dxa"/>
            <w:noWrap w:val="0"/>
            <w:vAlign w:val="center"/>
          </w:tcPr>
          <w:p>
            <w:pPr>
              <w:widowControl/>
              <w:jc w:val="center"/>
              <w:rPr>
                <w:rFonts w:hint="eastAsia" w:ascii="Times New Roman" w:hAnsi="Times New Roman" w:eastAsia="宋体" w:cs="宋体"/>
                <w:color w:val="auto"/>
                <w:kern w:val="0"/>
                <w:sz w:val="21"/>
                <w:szCs w:val="21"/>
              </w:rPr>
            </w:pPr>
            <w:r>
              <w:rPr>
                <w:rFonts w:hint="eastAsia" w:ascii="Times New Roman" w:hAnsi="Times New Roman" w:eastAsia="宋体" w:cs="宋体"/>
                <w:color w:val="auto"/>
                <w:kern w:val="0"/>
                <w:sz w:val="21"/>
                <w:szCs w:val="21"/>
              </w:rPr>
              <w:t>德令哈市幼儿园</w:t>
            </w:r>
          </w:p>
        </w:tc>
        <w:tc>
          <w:tcPr>
            <w:tcW w:w="2554" w:type="dxa"/>
            <w:vMerge w:val="restart"/>
            <w:noWrap w:val="0"/>
            <w:vAlign w:val="center"/>
          </w:tcPr>
          <w:p>
            <w:pPr>
              <w:widowControl/>
              <w:jc w:val="center"/>
              <w:rPr>
                <w:rFonts w:hint="eastAsia" w:ascii="Times New Roman" w:hAnsi="Times New Roman" w:eastAsia="宋体" w:cs="宋体"/>
                <w:color w:val="auto"/>
                <w:kern w:val="0"/>
                <w:sz w:val="21"/>
                <w:szCs w:val="21"/>
                <w:lang w:val="en-US" w:eastAsia="zh-CN" w:bidi="ar-SA"/>
              </w:rPr>
            </w:pPr>
            <w:r>
              <w:rPr>
                <w:rFonts w:hint="eastAsia" w:ascii="Times New Roman" w:hAnsi="Times New Roman" w:cs="宋体"/>
                <w:color w:val="auto"/>
                <w:kern w:val="0"/>
                <w:szCs w:val="21"/>
              </w:rPr>
              <w:t>学前教育/幼儿保育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21</w:t>
            </w:r>
          </w:p>
        </w:tc>
        <w:tc>
          <w:tcPr>
            <w:tcW w:w="5161" w:type="dxa"/>
            <w:noWrap w:val="0"/>
            <w:vAlign w:val="center"/>
          </w:tcPr>
          <w:p>
            <w:pPr>
              <w:widowControl/>
              <w:jc w:val="center"/>
              <w:rPr>
                <w:rFonts w:hint="eastAsia" w:ascii="Times New Roman" w:hAnsi="Times New Roman" w:eastAsia="宋体" w:cs="宋体"/>
                <w:color w:val="auto"/>
                <w:kern w:val="0"/>
                <w:sz w:val="21"/>
                <w:szCs w:val="21"/>
              </w:rPr>
            </w:pPr>
            <w:r>
              <w:rPr>
                <w:rFonts w:hint="eastAsia" w:ascii="Times New Roman" w:hAnsi="Times New Roman" w:eastAsia="宋体" w:cs="宋体"/>
                <w:color w:val="auto"/>
                <w:kern w:val="0"/>
                <w:sz w:val="21"/>
                <w:szCs w:val="21"/>
              </w:rPr>
              <w:t>德令哈市天峻路幼儿园</w:t>
            </w:r>
          </w:p>
        </w:tc>
        <w:tc>
          <w:tcPr>
            <w:tcW w:w="2554" w:type="dxa"/>
            <w:vMerge w:val="continue"/>
            <w:noWrap w:val="0"/>
            <w:vAlign w:val="center"/>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22</w:t>
            </w:r>
          </w:p>
        </w:tc>
        <w:tc>
          <w:tcPr>
            <w:tcW w:w="5161" w:type="dxa"/>
            <w:noWrap w:val="0"/>
            <w:vAlign w:val="center"/>
          </w:tcPr>
          <w:p>
            <w:pPr>
              <w:widowControl/>
              <w:jc w:val="center"/>
              <w:rPr>
                <w:rFonts w:hint="eastAsia" w:ascii="Times New Roman" w:hAnsi="Times New Roman" w:eastAsia="宋体" w:cs="宋体"/>
                <w:color w:val="auto"/>
                <w:kern w:val="0"/>
                <w:sz w:val="21"/>
                <w:szCs w:val="21"/>
              </w:rPr>
            </w:pPr>
            <w:r>
              <w:rPr>
                <w:rFonts w:hint="eastAsia" w:ascii="Times New Roman" w:hAnsi="Times New Roman" w:eastAsia="宋体" w:cs="宋体"/>
                <w:color w:val="auto"/>
                <w:kern w:val="0"/>
                <w:sz w:val="21"/>
                <w:szCs w:val="21"/>
              </w:rPr>
              <w:t>德令哈市昆仑路幼儿园</w:t>
            </w:r>
          </w:p>
        </w:tc>
        <w:tc>
          <w:tcPr>
            <w:tcW w:w="2554" w:type="dxa"/>
            <w:vMerge w:val="continue"/>
            <w:noWrap w:val="0"/>
            <w:vAlign w:val="center"/>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23</w:t>
            </w:r>
          </w:p>
        </w:tc>
        <w:tc>
          <w:tcPr>
            <w:tcW w:w="5161" w:type="dxa"/>
            <w:noWrap w:val="0"/>
            <w:vAlign w:val="center"/>
          </w:tcPr>
          <w:p>
            <w:pPr>
              <w:widowControl/>
              <w:jc w:val="center"/>
              <w:rPr>
                <w:rFonts w:hint="eastAsia" w:ascii="Times New Roman" w:hAnsi="Times New Roman" w:eastAsia="宋体" w:cs="宋体"/>
                <w:color w:val="auto"/>
                <w:kern w:val="0"/>
                <w:sz w:val="21"/>
                <w:szCs w:val="21"/>
              </w:rPr>
            </w:pPr>
            <w:r>
              <w:rPr>
                <w:rFonts w:hint="eastAsia" w:ascii="Times New Roman" w:hAnsi="Times New Roman" w:eastAsia="宋体" w:cs="宋体"/>
                <w:color w:val="auto"/>
                <w:kern w:val="0"/>
                <w:sz w:val="21"/>
                <w:szCs w:val="21"/>
              </w:rPr>
              <w:t>德令哈市巴音河幼儿园</w:t>
            </w:r>
          </w:p>
        </w:tc>
        <w:tc>
          <w:tcPr>
            <w:tcW w:w="2554" w:type="dxa"/>
            <w:vMerge w:val="continue"/>
            <w:noWrap w:val="0"/>
            <w:vAlign w:val="center"/>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24</w:t>
            </w:r>
          </w:p>
        </w:tc>
        <w:tc>
          <w:tcPr>
            <w:tcW w:w="5161" w:type="dxa"/>
            <w:noWrap w:val="0"/>
            <w:vAlign w:val="center"/>
          </w:tcPr>
          <w:p>
            <w:pPr>
              <w:widowControl/>
              <w:jc w:val="center"/>
              <w:rPr>
                <w:rFonts w:hint="eastAsia" w:ascii="Times New Roman" w:hAnsi="Times New Roman" w:eastAsia="宋体" w:cs="宋体"/>
                <w:color w:val="auto"/>
                <w:kern w:val="0"/>
                <w:sz w:val="21"/>
                <w:szCs w:val="21"/>
              </w:rPr>
            </w:pPr>
            <w:r>
              <w:rPr>
                <w:rFonts w:hint="eastAsia" w:ascii="Times New Roman" w:hAnsi="Times New Roman" w:eastAsia="宋体" w:cs="宋体"/>
                <w:color w:val="auto"/>
                <w:kern w:val="0"/>
                <w:sz w:val="21"/>
                <w:szCs w:val="21"/>
              </w:rPr>
              <w:t>德令哈市八一路幼儿园</w:t>
            </w:r>
          </w:p>
        </w:tc>
        <w:tc>
          <w:tcPr>
            <w:tcW w:w="2554" w:type="dxa"/>
            <w:vMerge w:val="continue"/>
            <w:noWrap w:val="0"/>
            <w:vAlign w:val="center"/>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25</w:t>
            </w:r>
          </w:p>
        </w:tc>
        <w:tc>
          <w:tcPr>
            <w:tcW w:w="5161" w:type="dxa"/>
            <w:noWrap w:val="0"/>
            <w:vAlign w:val="center"/>
          </w:tcPr>
          <w:p>
            <w:pPr>
              <w:widowControl/>
              <w:jc w:val="center"/>
              <w:rPr>
                <w:rFonts w:hint="eastAsia" w:ascii="Times New Roman" w:hAnsi="Times New Roman" w:eastAsia="宋体" w:cs="宋体"/>
                <w:color w:val="auto"/>
                <w:kern w:val="0"/>
                <w:sz w:val="21"/>
                <w:szCs w:val="21"/>
              </w:rPr>
            </w:pPr>
            <w:r>
              <w:rPr>
                <w:rFonts w:hint="eastAsia" w:ascii="Times New Roman" w:hAnsi="Times New Roman" w:eastAsia="宋体" w:cs="宋体"/>
                <w:color w:val="auto"/>
                <w:kern w:val="0"/>
                <w:sz w:val="21"/>
                <w:szCs w:val="21"/>
              </w:rPr>
              <w:t>德令哈市中心艺术幼儿园</w:t>
            </w:r>
          </w:p>
        </w:tc>
        <w:tc>
          <w:tcPr>
            <w:tcW w:w="2554" w:type="dxa"/>
            <w:vMerge w:val="continue"/>
            <w:noWrap w:val="0"/>
            <w:vAlign w:val="center"/>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26</w:t>
            </w:r>
          </w:p>
        </w:tc>
        <w:tc>
          <w:tcPr>
            <w:tcW w:w="5161" w:type="dxa"/>
            <w:noWrap w:val="0"/>
            <w:vAlign w:val="center"/>
          </w:tcPr>
          <w:p>
            <w:pPr>
              <w:widowControl/>
              <w:jc w:val="center"/>
              <w:rPr>
                <w:rFonts w:hint="eastAsia" w:ascii="Times New Roman" w:hAnsi="Times New Roman" w:eastAsia="宋体" w:cs="宋体"/>
                <w:color w:val="auto"/>
                <w:kern w:val="0"/>
                <w:sz w:val="21"/>
                <w:szCs w:val="21"/>
              </w:rPr>
            </w:pPr>
            <w:r>
              <w:rPr>
                <w:rFonts w:hint="eastAsia" w:ascii="Times New Roman" w:hAnsi="Times New Roman" w:eastAsia="宋体" w:cs="宋体"/>
                <w:color w:val="auto"/>
                <w:kern w:val="0"/>
                <w:sz w:val="21"/>
                <w:szCs w:val="21"/>
              </w:rPr>
              <w:t>德令哈市黄河路幼儿园</w:t>
            </w:r>
          </w:p>
        </w:tc>
        <w:tc>
          <w:tcPr>
            <w:tcW w:w="2554" w:type="dxa"/>
            <w:vMerge w:val="continue"/>
            <w:noWrap w:val="0"/>
            <w:vAlign w:val="center"/>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27</w:t>
            </w:r>
          </w:p>
        </w:tc>
        <w:tc>
          <w:tcPr>
            <w:tcW w:w="5161" w:type="dxa"/>
            <w:noWrap w:val="0"/>
            <w:vAlign w:val="center"/>
          </w:tcPr>
          <w:p>
            <w:pPr>
              <w:widowControl/>
              <w:jc w:val="center"/>
              <w:rPr>
                <w:rFonts w:hint="eastAsia" w:ascii="Times New Roman" w:hAnsi="Times New Roman" w:eastAsia="宋体" w:cs="宋体"/>
                <w:color w:val="auto"/>
                <w:kern w:val="0"/>
                <w:sz w:val="21"/>
                <w:szCs w:val="21"/>
              </w:rPr>
            </w:pPr>
            <w:r>
              <w:rPr>
                <w:rFonts w:hint="eastAsia" w:ascii="Times New Roman" w:hAnsi="Times New Roman" w:eastAsia="宋体" w:cs="宋体"/>
                <w:color w:val="auto"/>
                <w:kern w:val="0"/>
                <w:sz w:val="21"/>
                <w:szCs w:val="21"/>
              </w:rPr>
              <w:t>德令哈市娜克雅幼儿园</w:t>
            </w:r>
          </w:p>
        </w:tc>
        <w:tc>
          <w:tcPr>
            <w:tcW w:w="2554" w:type="dxa"/>
            <w:vMerge w:val="continue"/>
            <w:noWrap w:val="0"/>
            <w:vAlign w:val="center"/>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ascii="Times New Roman" w:hAnsi="Times New Roman"/>
                <w:color w:val="auto"/>
                <w:szCs w:val="21"/>
              </w:rPr>
            </w:pPr>
            <w:r>
              <w:rPr>
                <w:rFonts w:hint="eastAsia" w:ascii="Times New Roman" w:hAnsi="Times New Roman"/>
                <w:color w:val="auto"/>
                <w:szCs w:val="21"/>
                <w:lang w:val="en-US" w:eastAsia="zh-CN"/>
              </w:rPr>
              <w:t>28</w:t>
            </w:r>
          </w:p>
        </w:tc>
        <w:tc>
          <w:tcPr>
            <w:tcW w:w="5161" w:type="dxa"/>
            <w:noWrap w:val="0"/>
            <w:vAlign w:val="center"/>
          </w:tcPr>
          <w:p>
            <w:pPr>
              <w:widowControl/>
              <w:jc w:val="center"/>
              <w:rPr>
                <w:rFonts w:hint="eastAsia" w:ascii="Times New Roman" w:hAnsi="Times New Roman" w:eastAsia="宋体" w:cs="宋体"/>
                <w:color w:val="auto"/>
                <w:kern w:val="0"/>
                <w:sz w:val="21"/>
                <w:szCs w:val="21"/>
              </w:rPr>
            </w:pPr>
            <w:r>
              <w:rPr>
                <w:rFonts w:hint="eastAsia" w:ascii="Times New Roman" w:hAnsi="Times New Roman" w:eastAsia="宋体" w:cs="宋体"/>
                <w:color w:val="auto"/>
                <w:kern w:val="0"/>
                <w:sz w:val="21"/>
                <w:szCs w:val="21"/>
              </w:rPr>
              <w:t>德令哈市玛尔比恩早教托育中心</w:t>
            </w:r>
          </w:p>
        </w:tc>
        <w:tc>
          <w:tcPr>
            <w:tcW w:w="2554" w:type="dxa"/>
            <w:vMerge w:val="continue"/>
            <w:noWrap w:val="0"/>
            <w:vAlign w:val="center"/>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hint="eastAsia" w:ascii="Times New Roman" w:hAnsi="Times New Roman"/>
                <w:color w:val="auto"/>
                <w:szCs w:val="21"/>
              </w:rPr>
            </w:pPr>
            <w:r>
              <w:rPr>
                <w:rFonts w:hint="eastAsia" w:ascii="Times New Roman" w:hAnsi="Times New Roman"/>
                <w:color w:val="auto"/>
                <w:szCs w:val="21"/>
                <w:lang w:val="en-US" w:eastAsia="zh-CN"/>
              </w:rPr>
              <w:t>29</w:t>
            </w:r>
          </w:p>
        </w:tc>
        <w:tc>
          <w:tcPr>
            <w:tcW w:w="5161" w:type="dxa"/>
            <w:noWrap w:val="0"/>
            <w:vAlign w:val="center"/>
          </w:tcPr>
          <w:p>
            <w:pPr>
              <w:widowControl/>
              <w:jc w:val="center"/>
              <w:rPr>
                <w:rFonts w:hint="eastAsia" w:ascii="Times New Roman" w:hAnsi="Times New Roman" w:eastAsia="宋体" w:cs="宋体"/>
                <w:color w:val="auto"/>
                <w:kern w:val="0"/>
                <w:sz w:val="21"/>
                <w:szCs w:val="21"/>
              </w:rPr>
            </w:pPr>
            <w:r>
              <w:rPr>
                <w:rFonts w:hint="eastAsia" w:ascii="Times New Roman" w:hAnsi="Times New Roman" w:eastAsia="宋体" w:cs="宋体"/>
                <w:color w:val="auto"/>
                <w:kern w:val="0"/>
                <w:sz w:val="21"/>
                <w:szCs w:val="21"/>
              </w:rPr>
              <w:t>都兰县人民医院</w:t>
            </w:r>
          </w:p>
        </w:tc>
        <w:tc>
          <w:tcPr>
            <w:tcW w:w="2554" w:type="dxa"/>
            <w:vMerge w:val="restart"/>
            <w:noWrap w:val="0"/>
            <w:vAlign w:val="center"/>
          </w:tcPr>
          <w:p>
            <w:pPr>
              <w:widowControl/>
              <w:jc w:val="center"/>
              <w:rPr>
                <w:rFonts w:hint="eastAsia" w:ascii="Times New Roman" w:hAnsi="Times New Roman" w:eastAsia="宋体" w:cs="宋体"/>
                <w:color w:val="auto"/>
                <w:kern w:val="0"/>
                <w:sz w:val="21"/>
                <w:szCs w:val="21"/>
                <w:lang w:val="en-US" w:eastAsia="zh-CN" w:bidi="ar-SA"/>
              </w:rPr>
            </w:pPr>
            <w:r>
              <w:rPr>
                <w:rFonts w:hint="eastAsia" w:ascii="Times New Roman" w:hAnsi="Times New Roman" w:cs="宋体"/>
                <w:color w:val="auto"/>
                <w:kern w:val="0"/>
                <w:szCs w:val="21"/>
              </w:rPr>
              <w:t>护理、助产、康复治疗技术、医学检验技术、药学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hint="eastAsia" w:ascii="Times New Roman" w:hAnsi="Times New Roman"/>
                <w:color w:val="auto"/>
                <w:szCs w:val="21"/>
              </w:rPr>
            </w:pPr>
            <w:r>
              <w:rPr>
                <w:rFonts w:hint="eastAsia" w:ascii="Times New Roman" w:hAnsi="Times New Roman"/>
                <w:color w:val="auto"/>
                <w:szCs w:val="21"/>
                <w:lang w:val="en-US" w:eastAsia="zh-CN"/>
              </w:rPr>
              <w:t>30</w:t>
            </w:r>
          </w:p>
        </w:tc>
        <w:tc>
          <w:tcPr>
            <w:tcW w:w="5161" w:type="dxa"/>
            <w:noWrap w:val="0"/>
            <w:vAlign w:val="center"/>
          </w:tcPr>
          <w:p>
            <w:pPr>
              <w:widowControl/>
              <w:jc w:val="center"/>
              <w:rPr>
                <w:rFonts w:hint="eastAsia" w:ascii="Times New Roman" w:hAnsi="Times New Roman" w:eastAsia="宋体" w:cs="宋体"/>
                <w:color w:val="auto"/>
                <w:kern w:val="0"/>
                <w:sz w:val="21"/>
                <w:szCs w:val="21"/>
              </w:rPr>
            </w:pPr>
            <w:r>
              <w:rPr>
                <w:rFonts w:hint="eastAsia" w:ascii="Times New Roman" w:hAnsi="Times New Roman" w:eastAsia="宋体" w:cs="宋体"/>
                <w:color w:val="auto"/>
                <w:kern w:val="0"/>
                <w:sz w:val="21"/>
                <w:szCs w:val="21"/>
              </w:rPr>
              <w:t>格尔木市人民医院</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hint="eastAsia" w:ascii="Times New Roman" w:hAnsi="Times New Roman"/>
                <w:color w:val="auto"/>
                <w:szCs w:val="21"/>
              </w:rPr>
            </w:pPr>
            <w:r>
              <w:rPr>
                <w:rFonts w:hint="eastAsia" w:ascii="Times New Roman" w:hAnsi="Times New Roman"/>
                <w:color w:val="auto"/>
                <w:szCs w:val="21"/>
                <w:lang w:val="en-US" w:eastAsia="zh-CN"/>
              </w:rPr>
              <w:t>31</w:t>
            </w:r>
          </w:p>
        </w:tc>
        <w:tc>
          <w:tcPr>
            <w:tcW w:w="5161" w:type="dxa"/>
            <w:noWrap w:val="0"/>
            <w:vAlign w:val="center"/>
          </w:tcPr>
          <w:p>
            <w:pPr>
              <w:widowControl/>
              <w:jc w:val="center"/>
              <w:rPr>
                <w:rFonts w:hint="eastAsia" w:ascii="Times New Roman" w:hAnsi="Times New Roman" w:eastAsia="宋体" w:cs="宋体"/>
                <w:color w:val="auto"/>
                <w:kern w:val="0"/>
                <w:sz w:val="21"/>
                <w:szCs w:val="21"/>
              </w:rPr>
            </w:pPr>
            <w:r>
              <w:rPr>
                <w:rFonts w:hint="eastAsia" w:ascii="Times New Roman" w:hAnsi="Times New Roman" w:eastAsia="宋体" w:cs="宋体"/>
                <w:color w:val="auto"/>
                <w:kern w:val="0"/>
                <w:sz w:val="21"/>
                <w:szCs w:val="21"/>
              </w:rPr>
              <w:t>青海省海西自治州人民医院</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hint="eastAsia" w:ascii="Times New Roman" w:hAnsi="Times New Roman"/>
                <w:color w:val="auto"/>
                <w:szCs w:val="21"/>
              </w:rPr>
            </w:pPr>
            <w:r>
              <w:rPr>
                <w:rFonts w:hint="eastAsia" w:ascii="Times New Roman" w:hAnsi="Times New Roman"/>
                <w:color w:val="auto"/>
                <w:szCs w:val="21"/>
                <w:lang w:val="en-US" w:eastAsia="zh-CN"/>
              </w:rPr>
              <w:t>32</w:t>
            </w:r>
          </w:p>
        </w:tc>
        <w:tc>
          <w:tcPr>
            <w:tcW w:w="5161" w:type="dxa"/>
            <w:noWrap w:val="0"/>
            <w:vAlign w:val="center"/>
          </w:tcPr>
          <w:p>
            <w:pPr>
              <w:widowControl/>
              <w:jc w:val="center"/>
              <w:rPr>
                <w:rFonts w:hint="eastAsia" w:ascii="Times New Roman" w:hAnsi="Times New Roman" w:eastAsia="宋体" w:cs="宋体"/>
                <w:color w:val="auto"/>
                <w:kern w:val="0"/>
                <w:sz w:val="21"/>
                <w:szCs w:val="21"/>
              </w:rPr>
            </w:pPr>
            <w:r>
              <w:rPr>
                <w:rFonts w:hint="eastAsia" w:ascii="Times New Roman" w:hAnsi="Times New Roman" w:eastAsia="宋体" w:cs="宋体"/>
                <w:color w:val="auto"/>
                <w:kern w:val="0"/>
                <w:sz w:val="21"/>
                <w:szCs w:val="21"/>
              </w:rPr>
              <w:t>西宁市第二人民医院</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hint="eastAsia" w:ascii="Times New Roman" w:hAnsi="Times New Roman"/>
                <w:color w:val="auto"/>
                <w:szCs w:val="21"/>
              </w:rPr>
            </w:pPr>
            <w:r>
              <w:rPr>
                <w:rFonts w:hint="eastAsia" w:ascii="Times New Roman" w:hAnsi="Times New Roman"/>
                <w:color w:val="auto"/>
                <w:szCs w:val="21"/>
                <w:lang w:val="en-US" w:eastAsia="zh-CN"/>
              </w:rPr>
              <w:t>33</w:t>
            </w:r>
          </w:p>
        </w:tc>
        <w:tc>
          <w:tcPr>
            <w:tcW w:w="5161" w:type="dxa"/>
            <w:noWrap w:val="0"/>
            <w:vAlign w:val="center"/>
          </w:tcPr>
          <w:p>
            <w:pPr>
              <w:widowControl/>
              <w:jc w:val="center"/>
              <w:rPr>
                <w:rFonts w:hint="eastAsia" w:ascii="Times New Roman" w:hAnsi="Times New Roman" w:eastAsia="宋体" w:cs="宋体"/>
                <w:color w:val="auto"/>
                <w:kern w:val="0"/>
                <w:sz w:val="21"/>
                <w:szCs w:val="21"/>
              </w:rPr>
            </w:pPr>
            <w:r>
              <w:rPr>
                <w:rFonts w:hint="eastAsia" w:ascii="Times New Roman" w:hAnsi="Times New Roman" w:eastAsia="宋体" w:cs="宋体"/>
                <w:color w:val="auto"/>
                <w:kern w:val="0"/>
                <w:sz w:val="21"/>
                <w:szCs w:val="21"/>
              </w:rPr>
              <w:t>青海省第五人民医院</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hint="eastAsia" w:ascii="Times New Roman" w:hAnsi="Times New Roman"/>
                <w:color w:val="auto"/>
                <w:szCs w:val="21"/>
              </w:rPr>
            </w:pPr>
            <w:r>
              <w:rPr>
                <w:rFonts w:hint="eastAsia" w:ascii="Times New Roman" w:hAnsi="Times New Roman"/>
                <w:color w:val="auto"/>
                <w:szCs w:val="21"/>
                <w:lang w:val="en-US" w:eastAsia="zh-CN"/>
              </w:rPr>
              <w:t>34</w:t>
            </w:r>
          </w:p>
        </w:tc>
        <w:tc>
          <w:tcPr>
            <w:tcW w:w="5161" w:type="dxa"/>
            <w:noWrap w:val="0"/>
            <w:vAlign w:val="center"/>
          </w:tcPr>
          <w:p>
            <w:pPr>
              <w:widowControl/>
              <w:jc w:val="center"/>
              <w:rPr>
                <w:rFonts w:hint="eastAsia" w:ascii="Times New Roman" w:hAnsi="Times New Roman" w:eastAsia="宋体" w:cs="宋体"/>
                <w:color w:val="auto"/>
                <w:kern w:val="0"/>
                <w:sz w:val="21"/>
                <w:szCs w:val="21"/>
              </w:rPr>
            </w:pPr>
            <w:r>
              <w:rPr>
                <w:rFonts w:hint="eastAsia" w:ascii="Times New Roman" w:hAnsi="Times New Roman" w:eastAsia="宋体" w:cs="宋体"/>
                <w:color w:val="auto"/>
                <w:kern w:val="0"/>
                <w:sz w:val="21"/>
                <w:szCs w:val="21"/>
              </w:rPr>
              <w:t>西宁市第一人民医院</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hint="eastAsia" w:ascii="Times New Roman" w:hAnsi="Times New Roman"/>
                <w:color w:val="auto"/>
                <w:szCs w:val="21"/>
              </w:rPr>
            </w:pPr>
            <w:r>
              <w:rPr>
                <w:rFonts w:hint="eastAsia" w:ascii="Times New Roman" w:hAnsi="Times New Roman"/>
                <w:color w:val="auto"/>
                <w:szCs w:val="21"/>
                <w:lang w:val="en-US" w:eastAsia="zh-CN"/>
              </w:rPr>
              <w:t>35</w:t>
            </w:r>
          </w:p>
        </w:tc>
        <w:tc>
          <w:tcPr>
            <w:tcW w:w="5161" w:type="dxa"/>
            <w:noWrap w:val="0"/>
            <w:vAlign w:val="center"/>
          </w:tcPr>
          <w:p>
            <w:pPr>
              <w:widowControl/>
              <w:jc w:val="center"/>
              <w:rPr>
                <w:rFonts w:hint="eastAsia" w:ascii="Times New Roman" w:hAnsi="Times New Roman" w:eastAsia="宋体" w:cs="宋体"/>
                <w:color w:val="auto"/>
                <w:kern w:val="0"/>
                <w:sz w:val="21"/>
                <w:szCs w:val="21"/>
              </w:rPr>
            </w:pPr>
            <w:r>
              <w:rPr>
                <w:rFonts w:hint="eastAsia" w:ascii="Times New Roman" w:hAnsi="Times New Roman" w:eastAsia="宋体" w:cs="宋体"/>
                <w:color w:val="auto"/>
                <w:kern w:val="0"/>
                <w:sz w:val="21"/>
                <w:szCs w:val="21"/>
              </w:rPr>
              <w:t>青海省交通医院</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hint="eastAsia" w:ascii="Times New Roman" w:hAnsi="Times New Roman"/>
                <w:color w:val="auto"/>
                <w:szCs w:val="21"/>
              </w:rPr>
            </w:pPr>
            <w:r>
              <w:rPr>
                <w:rFonts w:hint="eastAsia" w:ascii="Times New Roman" w:hAnsi="Times New Roman"/>
                <w:color w:val="auto"/>
                <w:szCs w:val="21"/>
                <w:lang w:val="en-US" w:eastAsia="zh-CN"/>
              </w:rPr>
              <w:t>36</w:t>
            </w:r>
          </w:p>
        </w:tc>
        <w:tc>
          <w:tcPr>
            <w:tcW w:w="5161" w:type="dxa"/>
            <w:noWrap w:val="0"/>
            <w:vAlign w:val="center"/>
          </w:tcPr>
          <w:p>
            <w:pPr>
              <w:widowControl/>
              <w:jc w:val="center"/>
              <w:rPr>
                <w:rFonts w:hint="eastAsia" w:ascii="Times New Roman" w:hAnsi="Times New Roman" w:eastAsia="宋体" w:cs="宋体"/>
                <w:color w:val="auto"/>
                <w:kern w:val="0"/>
                <w:sz w:val="21"/>
                <w:szCs w:val="21"/>
              </w:rPr>
            </w:pPr>
            <w:r>
              <w:rPr>
                <w:rFonts w:hint="eastAsia" w:ascii="Times New Roman" w:hAnsi="Times New Roman" w:eastAsia="宋体" w:cs="宋体"/>
                <w:color w:val="auto"/>
                <w:kern w:val="0"/>
                <w:sz w:val="21"/>
                <w:szCs w:val="21"/>
              </w:rPr>
              <w:t>青海省第五人民医院</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05" w:type="dxa"/>
            <w:noWrap w:val="0"/>
            <w:vAlign w:val="center"/>
          </w:tcPr>
          <w:p>
            <w:pPr>
              <w:jc w:val="center"/>
              <w:rPr>
                <w:rFonts w:hint="eastAsia" w:ascii="Times New Roman" w:hAnsi="Times New Roman"/>
                <w:color w:val="auto"/>
                <w:szCs w:val="21"/>
              </w:rPr>
            </w:pPr>
            <w:r>
              <w:rPr>
                <w:rFonts w:hint="eastAsia" w:ascii="Times New Roman" w:hAnsi="Times New Roman"/>
                <w:color w:val="auto"/>
                <w:szCs w:val="21"/>
                <w:lang w:val="en-US" w:eastAsia="zh-CN"/>
              </w:rPr>
              <w:t>37</w:t>
            </w:r>
          </w:p>
        </w:tc>
        <w:tc>
          <w:tcPr>
            <w:tcW w:w="5161" w:type="dxa"/>
            <w:noWrap w:val="0"/>
            <w:vAlign w:val="center"/>
          </w:tcPr>
          <w:p>
            <w:pPr>
              <w:widowControl/>
              <w:jc w:val="center"/>
              <w:rPr>
                <w:rFonts w:hint="eastAsia" w:ascii="Times New Roman" w:hAnsi="Times New Roman" w:eastAsia="宋体" w:cs="宋体"/>
                <w:color w:val="auto"/>
                <w:kern w:val="0"/>
                <w:sz w:val="21"/>
                <w:szCs w:val="21"/>
              </w:rPr>
            </w:pPr>
            <w:r>
              <w:rPr>
                <w:rFonts w:hint="eastAsia" w:ascii="Times New Roman" w:hAnsi="Times New Roman" w:eastAsia="宋体" w:cs="宋体"/>
                <w:color w:val="auto"/>
                <w:kern w:val="0"/>
                <w:sz w:val="21"/>
                <w:szCs w:val="21"/>
              </w:rPr>
              <w:t>中国人民解放军陆军第952部队医院</w:t>
            </w:r>
          </w:p>
        </w:tc>
        <w:tc>
          <w:tcPr>
            <w:tcW w:w="2554" w:type="dxa"/>
            <w:vMerge w:val="continue"/>
            <w:noWrap w:val="0"/>
            <w:vAlign w:val="top"/>
          </w:tcPr>
          <w:p>
            <w:pPr>
              <w:widowControl/>
              <w:jc w:val="center"/>
              <w:rPr>
                <w:rFonts w:hint="eastAsia" w:ascii="Times New Roman" w:hAnsi="Times New Roman" w:eastAsia="宋体" w:cs="宋体"/>
                <w:color w:val="auto"/>
                <w:kern w:val="0"/>
                <w:sz w:val="21"/>
                <w:szCs w:val="21"/>
                <w:lang w:val="en-US" w:eastAsia="zh-CN" w:bidi="ar-SA"/>
              </w:rPr>
            </w:pPr>
          </w:p>
        </w:tc>
      </w:tr>
    </w:tbl>
    <w:p>
      <w:pPr>
        <w:pStyle w:val="34"/>
        <w:ind w:firstLine="0" w:firstLineChars="0"/>
        <w:rPr>
          <w:rFonts w:ascii="Times New Roman" w:hAnsi="Times New Roman" w:eastAsia="楷体" w:cs="Times New Roman"/>
          <w:bCs/>
          <w:sz w:val="21"/>
          <w:szCs w:val="21"/>
        </w:rPr>
      </w:pPr>
      <w:r>
        <w:rPr>
          <w:rFonts w:hint="eastAsia" w:ascii="Times New Roman" w:hAnsi="Times New Roman" w:eastAsia="楷体" w:cs="Times New Roman"/>
          <w:bCs/>
          <w:sz w:val="21"/>
          <w:szCs w:val="21"/>
        </w:rPr>
        <w:t>备注：学校与青海柴达木职业技术学院共享资源，专业名称含高职部分。</w:t>
      </w:r>
    </w:p>
    <w:tbl>
      <w:tblPr>
        <w:tblStyle w:val="17"/>
        <w:tblW w:w="8175" w:type="dxa"/>
        <w:tblInd w:w="189" w:type="dxa"/>
        <w:tblLayout w:type="fixed"/>
        <w:tblCellMar>
          <w:top w:w="0" w:type="dxa"/>
          <w:left w:w="108" w:type="dxa"/>
          <w:bottom w:w="0" w:type="dxa"/>
          <w:right w:w="108" w:type="dxa"/>
        </w:tblCellMar>
      </w:tblPr>
      <w:tblGrid>
        <w:gridCol w:w="3950"/>
        <w:gridCol w:w="4225"/>
      </w:tblGrid>
      <w:tr>
        <w:tblPrEx>
          <w:tblCellMar>
            <w:top w:w="0" w:type="dxa"/>
            <w:left w:w="108" w:type="dxa"/>
            <w:bottom w:w="0" w:type="dxa"/>
            <w:right w:w="108" w:type="dxa"/>
          </w:tblCellMar>
        </w:tblPrEx>
        <w:tc>
          <w:tcPr>
            <w:tcW w:w="3950" w:type="dxa"/>
            <w:shd w:val="clear" w:color="auto" w:fill="auto"/>
          </w:tcPr>
          <w:p>
            <w:pPr>
              <w:pStyle w:val="34"/>
              <w:ind w:firstLine="0" w:firstLineChars="0"/>
              <w:rPr>
                <w:rFonts w:ascii="Times New Roman" w:hAnsi="Times New Roman"/>
                <w:sz w:val="21"/>
                <w:szCs w:val="21"/>
              </w:rPr>
            </w:pPr>
            <w:r>
              <w:rPr>
                <w:rFonts w:ascii="Times New Roman" w:hAnsi="Times New Roman"/>
                <w:sz w:val="21"/>
                <w:szCs w:val="21"/>
              </w:rPr>
              <w:drawing>
                <wp:inline distT="0" distB="0" distL="0" distR="0">
                  <wp:extent cx="2583180" cy="1670685"/>
                  <wp:effectExtent l="0" t="0" r="7620" b="5715"/>
                  <wp:docPr id="10"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a:xfrm>
                            <a:off x="0" y="0"/>
                            <a:ext cx="2583180" cy="1670685"/>
                          </a:xfrm>
                          <a:prstGeom prst="rect">
                            <a:avLst/>
                          </a:prstGeom>
                          <a:noFill/>
                          <a:ln>
                            <a:noFill/>
                          </a:ln>
                        </pic:spPr>
                      </pic:pic>
                    </a:graphicData>
                  </a:graphic>
                </wp:inline>
              </w:drawing>
            </w:r>
          </w:p>
          <w:p>
            <w:pPr>
              <w:pStyle w:val="34"/>
              <w:ind w:firstLine="0" w:firstLineChars="0"/>
              <w:jc w:val="center"/>
              <w:rPr>
                <w:rFonts w:ascii="Times New Roman" w:hAnsi="Times New Roman" w:cs="Times New Roman"/>
                <w:b/>
                <w:bCs/>
                <w:sz w:val="21"/>
                <w:szCs w:val="21"/>
              </w:rPr>
            </w:pPr>
            <w:r>
              <w:rPr>
                <w:rFonts w:hint="eastAsia" w:ascii="Times New Roman" w:hAnsi="Times New Roman" w:cs="宋体"/>
                <w:b/>
                <w:bCs/>
                <w:color w:val="000000"/>
                <w:kern w:val="0"/>
                <w:sz w:val="21"/>
                <w:szCs w:val="21"/>
              </w:rPr>
              <w:t>青海中浩天然气化工有限公司</w:t>
            </w:r>
          </w:p>
        </w:tc>
        <w:tc>
          <w:tcPr>
            <w:tcW w:w="4225" w:type="dxa"/>
            <w:shd w:val="clear" w:color="auto" w:fill="auto"/>
          </w:tcPr>
          <w:p>
            <w:pPr>
              <w:pStyle w:val="34"/>
              <w:ind w:firstLine="0" w:firstLineChars="0"/>
              <w:rPr>
                <w:rFonts w:ascii="Times New Roman" w:hAnsi="Times New Roman"/>
                <w:sz w:val="21"/>
                <w:szCs w:val="21"/>
              </w:rPr>
            </w:pPr>
            <w:r>
              <w:rPr>
                <w:rFonts w:ascii="Times New Roman" w:hAnsi="Times New Roman"/>
                <w:sz w:val="21"/>
                <w:szCs w:val="21"/>
              </w:rPr>
              <w:drawing>
                <wp:inline distT="0" distB="0" distL="0" distR="0">
                  <wp:extent cx="2593340" cy="1670685"/>
                  <wp:effectExtent l="0" t="0" r="16510" b="5715"/>
                  <wp:docPr id="11"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a:xfrm>
                            <a:off x="0" y="0"/>
                            <a:ext cx="2593340" cy="1670685"/>
                          </a:xfrm>
                          <a:prstGeom prst="rect">
                            <a:avLst/>
                          </a:prstGeom>
                          <a:noFill/>
                          <a:ln>
                            <a:noFill/>
                          </a:ln>
                        </pic:spPr>
                      </pic:pic>
                    </a:graphicData>
                  </a:graphic>
                </wp:inline>
              </w:drawing>
            </w:r>
          </w:p>
          <w:p>
            <w:pPr>
              <w:pStyle w:val="34"/>
              <w:ind w:firstLine="0" w:firstLineChars="0"/>
              <w:jc w:val="center"/>
              <w:rPr>
                <w:rFonts w:ascii="Times New Roman" w:hAnsi="Times New Roman" w:cs="Times New Roman"/>
                <w:b/>
                <w:bCs/>
                <w:sz w:val="21"/>
                <w:szCs w:val="21"/>
              </w:rPr>
            </w:pPr>
            <w:r>
              <w:rPr>
                <w:rFonts w:hint="eastAsia" w:ascii="Times New Roman" w:hAnsi="Times New Roman" w:cs="宋体"/>
                <w:b/>
                <w:bCs/>
                <w:color w:val="000000"/>
                <w:kern w:val="0"/>
                <w:sz w:val="21"/>
                <w:szCs w:val="21"/>
              </w:rPr>
              <w:t>中盐青海昆仑碱业有限公司</w:t>
            </w:r>
          </w:p>
        </w:tc>
      </w:tr>
      <w:tr>
        <w:trPr>
          <w:trHeight w:val="3202" w:hRule="atLeast"/>
        </w:trPr>
        <w:tc>
          <w:tcPr>
            <w:tcW w:w="3950" w:type="dxa"/>
            <w:shd w:val="clear" w:color="auto" w:fill="auto"/>
          </w:tcPr>
          <w:p>
            <w:pPr>
              <w:pStyle w:val="34"/>
              <w:ind w:firstLine="0" w:firstLineChars="0"/>
              <w:rPr>
                <w:rFonts w:ascii="Times New Roman" w:hAnsi="Times New Roman" w:cs="Times New Roman"/>
                <w:b/>
                <w:sz w:val="21"/>
                <w:szCs w:val="21"/>
              </w:rPr>
            </w:pPr>
            <w:r>
              <w:rPr>
                <w:rFonts w:ascii="Times New Roman" w:hAnsi="Times New Roman"/>
                <w:sz w:val="21"/>
                <w:szCs w:val="21"/>
              </w:rPr>
              <w:drawing>
                <wp:inline distT="0" distB="0" distL="0" distR="0">
                  <wp:extent cx="2574925" cy="1692275"/>
                  <wp:effectExtent l="0" t="0" r="15875" b="3175"/>
                  <wp:docPr id="12" name="图片 55" descr="H:\兴和田\海西州职业技术学校质量年度报告（2020年  校方提供）\中职材料\海西州人民医院图片（网络）.jpg海西州人民医院图片（网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5" descr="H:\兴和田\海西州职业技术学校质量年度报告（2020年  校方提供）\中职材料\海西州人民医院图片（网络）.jpg海西州人民医院图片（网络）"/>
                          <pic:cNvPicPr>
                            <a:picLocks noChangeAspect="1" noChangeArrowheads="1"/>
                          </pic:cNvPicPr>
                        </pic:nvPicPr>
                        <pic:blipFill>
                          <a:blip r:embed="rId32" cstate="print"/>
                          <a:srcRect/>
                          <a:stretch>
                            <a:fillRect/>
                          </a:stretch>
                        </pic:blipFill>
                        <pic:spPr>
                          <a:xfrm>
                            <a:off x="0" y="0"/>
                            <a:ext cx="2574925" cy="1692275"/>
                          </a:xfrm>
                          <a:prstGeom prst="rect">
                            <a:avLst/>
                          </a:prstGeom>
                          <a:noFill/>
                          <a:ln>
                            <a:noFill/>
                          </a:ln>
                        </pic:spPr>
                      </pic:pic>
                    </a:graphicData>
                  </a:graphic>
                </wp:inline>
              </w:drawing>
            </w:r>
          </w:p>
          <w:p>
            <w:pPr>
              <w:pStyle w:val="34"/>
              <w:ind w:firstLine="0" w:firstLineChars="0"/>
              <w:jc w:val="center"/>
              <w:rPr>
                <w:rFonts w:ascii="Times New Roman" w:hAnsi="Times New Roman" w:cs="Times New Roman"/>
                <w:b/>
                <w:bCs/>
                <w:sz w:val="21"/>
                <w:szCs w:val="21"/>
              </w:rPr>
            </w:pPr>
            <w:r>
              <w:rPr>
                <w:rFonts w:hint="eastAsia" w:ascii="Times New Roman" w:hAnsi="Times New Roman" w:cs="宋体"/>
                <w:b/>
                <w:bCs/>
                <w:color w:val="000000"/>
                <w:kern w:val="0"/>
                <w:sz w:val="21"/>
                <w:szCs w:val="21"/>
              </w:rPr>
              <w:t>海西州人民医院</w:t>
            </w:r>
          </w:p>
        </w:tc>
        <w:tc>
          <w:tcPr>
            <w:tcW w:w="4225" w:type="dxa"/>
            <w:shd w:val="clear" w:color="auto" w:fill="auto"/>
          </w:tcPr>
          <w:p>
            <w:pPr>
              <w:pStyle w:val="34"/>
              <w:ind w:firstLine="0" w:firstLineChars="0"/>
              <w:rPr>
                <w:rFonts w:ascii="Times New Roman" w:hAnsi="Times New Roman" w:cs="Times New Roman"/>
                <w:b/>
                <w:sz w:val="21"/>
                <w:szCs w:val="21"/>
              </w:rPr>
            </w:pPr>
            <w:r>
              <w:rPr>
                <w:rFonts w:ascii="Times New Roman" w:hAnsi="Times New Roman"/>
                <w:sz w:val="21"/>
                <w:szCs w:val="21"/>
              </w:rPr>
              <w:drawing>
                <wp:inline distT="0" distB="0" distL="0" distR="0">
                  <wp:extent cx="2593340" cy="1682115"/>
                  <wp:effectExtent l="0" t="0" r="16510" b="13335"/>
                  <wp:docPr id="13"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2593340" cy="1682115"/>
                          </a:xfrm>
                          <a:prstGeom prst="rect">
                            <a:avLst/>
                          </a:prstGeom>
                          <a:noFill/>
                          <a:ln>
                            <a:noFill/>
                          </a:ln>
                        </pic:spPr>
                      </pic:pic>
                    </a:graphicData>
                  </a:graphic>
                </wp:inline>
              </w:drawing>
            </w:r>
          </w:p>
          <w:p>
            <w:pPr>
              <w:pStyle w:val="34"/>
              <w:ind w:firstLine="0" w:firstLineChars="0"/>
              <w:jc w:val="center"/>
              <w:rPr>
                <w:rFonts w:ascii="Times New Roman" w:hAnsi="Times New Roman" w:cs="Times New Roman"/>
                <w:b/>
                <w:sz w:val="21"/>
                <w:szCs w:val="21"/>
              </w:rPr>
            </w:pPr>
            <w:r>
              <w:rPr>
                <w:rFonts w:hint="eastAsia" w:ascii="Times New Roman" w:hAnsi="Times New Roman" w:cs="宋体"/>
                <w:b/>
                <w:bCs/>
                <w:color w:val="000000"/>
                <w:kern w:val="0"/>
                <w:sz w:val="21"/>
                <w:szCs w:val="21"/>
              </w:rPr>
              <w:t>格尔木都市汽修汽贸服务有限公司</w:t>
            </w:r>
          </w:p>
        </w:tc>
      </w:tr>
    </w:tbl>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图1-</w:t>
      </w:r>
      <w:r>
        <w:rPr>
          <w:rFonts w:hint="eastAsia" w:ascii="Times New Roman" w:hAnsi="Times New Roman" w:cs="Times New Roman"/>
          <w:b/>
          <w:color w:val="000000" w:themeColor="text1"/>
          <w:kern w:val="2"/>
          <w:sz w:val="21"/>
          <w:szCs w:val="21"/>
          <w14:textFill>
            <w14:solidFill>
              <w14:schemeClr w14:val="tx1"/>
            </w14:solidFill>
          </w14:textFill>
        </w:rPr>
        <w:t>7</w:t>
      </w:r>
      <w:r>
        <w:rPr>
          <w:rFonts w:ascii="Times New Roman" w:hAnsi="Times New Roman" w:cs="Times New Roman"/>
          <w:b/>
          <w:color w:val="000000" w:themeColor="text1"/>
          <w:kern w:val="2"/>
          <w:sz w:val="21"/>
          <w:szCs w:val="21"/>
          <w14:textFill>
            <w14:solidFill>
              <w14:schemeClr w14:val="tx1"/>
            </w14:solidFill>
          </w14:textFill>
        </w:rPr>
        <w:t xml:space="preserve">  </w:t>
      </w:r>
      <w:r>
        <w:rPr>
          <w:rFonts w:hint="eastAsia" w:ascii="Times New Roman" w:hAnsi="Times New Roman" w:cs="Times New Roman"/>
          <w:b/>
          <w:color w:val="000000" w:themeColor="text1"/>
          <w:kern w:val="2"/>
          <w:sz w:val="21"/>
          <w:szCs w:val="21"/>
          <w14:textFill>
            <w14:solidFill>
              <w14:schemeClr w14:val="tx1"/>
            </w14:solidFill>
          </w14:textFill>
        </w:rPr>
        <w:t>校外实习基地</w:t>
      </w:r>
    </w:p>
    <w:p>
      <w:pPr>
        <w:pStyle w:val="34"/>
        <w:ind w:firstLine="562"/>
        <w:rPr>
          <w:rFonts w:ascii="Times New Roman" w:hAnsi="Times New Roman" w:cs="Times New Roman"/>
          <w:b/>
        </w:rPr>
      </w:pPr>
      <w:r>
        <w:rPr>
          <w:rFonts w:ascii="Times New Roman" w:hAnsi="Times New Roman" w:cs="Times New Roman"/>
          <w:b/>
        </w:rPr>
        <w:t>3.图书和期刊</w:t>
      </w:r>
    </w:p>
    <w:p>
      <w:pPr>
        <w:pStyle w:val="34"/>
        <w:spacing w:line="300" w:lineRule="auto"/>
        <w:ind w:firstLine="480"/>
        <w:rPr>
          <w:rFonts w:ascii="Times New Roman" w:hAnsi="Times New Roman" w:cs="Times New Roman"/>
          <w:sz w:val="24"/>
          <w:szCs w:val="28"/>
        </w:rPr>
      </w:pPr>
      <w:r>
        <w:rPr>
          <w:rFonts w:ascii="Times New Roman" w:hAnsi="Times New Roman" w:cs="Times New Roman"/>
          <w:sz w:val="24"/>
          <w:szCs w:val="28"/>
        </w:rPr>
        <w:t>学校图书馆</w:t>
      </w:r>
      <w:r>
        <w:rPr>
          <w:rFonts w:hint="eastAsia" w:ascii="Times New Roman" w:hAnsi="Times New Roman" w:cs="Times New Roman"/>
          <w:sz w:val="24"/>
          <w:szCs w:val="28"/>
        </w:rPr>
        <w:t>现有馆藏</w:t>
      </w:r>
      <w:r>
        <w:rPr>
          <w:rFonts w:ascii="Times New Roman" w:hAnsi="Times New Roman" w:cs="Times New Roman"/>
          <w:sz w:val="24"/>
          <w:szCs w:val="28"/>
        </w:rPr>
        <w:t>纸质图书22</w:t>
      </w:r>
      <w:r>
        <w:rPr>
          <w:rFonts w:hint="eastAsia" w:ascii="Times New Roman" w:hAnsi="Times New Roman" w:cs="Times New Roman"/>
          <w:sz w:val="24"/>
          <w:szCs w:val="28"/>
          <w:lang w:val="en-US" w:eastAsia="zh-Hans"/>
        </w:rPr>
        <w:t>.</w:t>
      </w:r>
      <w:r>
        <w:rPr>
          <w:rFonts w:hint="default" w:ascii="Times New Roman" w:hAnsi="Times New Roman" w:cs="Times New Roman"/>
          <w:sz w:val="24"/>
          <w:szCs w:val="28"/>
          <w:lang w:eastAsia="zh-Hans"/>
        </w:rPr>
        <w:t>52</w:t>
      </w:r>
      <w:r>
        <w:rPr>
          <w:rFonts w:hint="eastAsia" w:ascii="Times New Roman" w:hAnsi="Times New Roman" w:cs="Times New Roman"/>
          <w:sz w:val="24"/>
          <w:szCs w:val="28"/>
        </w:rPr>
        <w:t>万</w:t>
      </w:r>
      <w:r>
        <w:rPr>
          <w:rFonts w:ascii="Times New Roman" w:hAnsi="Times New Roman" w:cs="Times New Roman"/>
          <w:sz w:val="24"/>
          <w:szCs w:val="28"/>
        </w:rPr>
        <w:t>册</w:t>
      </w:r>
      <w:r>
        <w:rPr>
          <w:rFonts w:hint="eastAsia" w:ascii="Times New Roman" w:hAnsi="Times New Roman" w:cs="Times New Roman"/>
          <w:sz w:val="24"/>
          <w:szCs w:val="28"/>
        </w:rPr>
        <w:t>，比上学年增加</w:t>
      </w:r>
      <w:r>
        <w:rPr>
          <w:rFonts w:hint="default" w:ascii="Times New Roman" w:hAnsi="Times New Roman" w:cs="Times New Roman"/>
          <w:sz w:val="24"/>
          <w:szCs w:val="28"/>
        </w:rPr>
        <w:t>3</w:t>
      </w:r>
      <w:r>
        <w:rPr>
          <w:rFonts w:hint="eastAsia" w:ascii="Times New Roman" w:hAnsi="Times New Roman" w:cs="Times New Roman"/>
          <w:sz w:val="24"/>
          <w:szCs w:val="28"/>
          <w:lang w:val="en-US" w:eastAsia="zh-Hans"/>
        </w:rPr>
        <w:t>.</w:t>
      </w:r>
      <w:r>
        <w:rPr>
          <w:rFonts w:hint="default" w:ascii="Times New Roman" w:hAnsi="Times New Roman" w:cs="Times New Roman"/>
          <w:sz w:val="24"/>
          <w:szCs w:val="28"/>
          <w:lang w:eastAsia="zh-Hans"/>
        </w:rPr>
        <w:t>02</w:t>
      </w:r>
      <w:r>
        <w:rPr>
          <w:rFonts w:hint="eastAsia" w:ascii="Times New Roman" w:hAnsi="Times New Roman" w:cs="Times New Roman"/>
          <w:sz w:val="24"/>
          <w:szCs w:val="28"/>
        </w:rPr>
        <w:t>万册，增幅</w:t>
      </w:r>
      <w:r>
        <w:rPr>
          <w:rFonts w:hint="default" w:ascii="Times New Roman" w:hAnsi="Times New Roman" w:cs="Times New Roman"/>
          <w:sz w:val="24"/>
          <w:szCs w:val="28"/>
        </w:rPr>
        <w:t>15</w:t>
      </w:r>
      <w:r>
        <w:rPr>
          <w:rFonts w:hint="eastAsia" w:ascii="Times New Roman" w:hAnsi="Times New Roman" w:cs="Times New Roman"/>
          <w:sz w:val="24"/>
          <w:szCs w:val="28"/>
          <w:lang w:val="en-US" w:eastAsia="zh-Hans"/>
        </w:rPr>
        <w:t>.</w:t>
      </w:r>
      <w:r>
        <w:rPr>
          <w:rFonts w:hint="default" w:ascii="Times New Roman" w:hAnsi="Times New Roman" w:cs="Times New Roman"/>
          <w:sz w:val="24"/>
          <w:szCs w:val="28"/>
          <w:lang w:eastAsia="zh-Hans"/>
        </w:rPr>
        <w:t>40</w:t>
      </w:r>
      <w:r>
        <w:rPr>
          <w:rFonts w:ascii="Times New Roman" w:hAnsi="Times New Roman" w:cs="Times New Roman"/>
          <w:sz w:val="24"/>
          <w:szCs w:val="28"/>
        </w:rPr>
        <w:t>%</w:t>
      </w:r>
      <w:r>
        <w:rPr>
          <w:rFonts w:hint="eastAsia" w:ascii="Times New Roman" w:hAnsi="Times New Roman" w:cs="Times New Roman"/>
          <w:sz w:val="24"/>
          <w:szCs w:val="28"/>
        </w:rPr>
        <w:t>；</w:t>
      </w:r>
      <w:r>
        <w:rPr>
          <w:rFonts w:ascii="Times New Roman" w:hAnsi="Times New Roman" w:cs="Times New Roman"/>
          <w:sz w:val="24"/>
          <w:szCs w:val="28"/>
        </w:rPr>
        <w:t>生均纸质图书</w:t>
      </w:r>
      <w:r>
        <w:rPr>
          <w:rFonts w:ascii="Times New Roman" w:hAnsi="Times New Roman" w:cs="Times New Roman"/>
          <w:sz w:val="24"/>
          <w:szCs w:val="28"/>
          <w:vertAlign w:val="superscript"/>
        </w:rPr>
        <w:footnoteReference w:id="9"/>
      </w:r>
      <w:r>
        <w:rPr>
          <w:rFonts w:ascii="Times New Roman" w:hAnsi="Times New Roman" w:cs="Times New Roman"/>
          <w:sz w:val="24"/>
          <w:szCs w:val="28"/>
        </w:rPr>
        <w:t>达153</w:t>
      </w:r>
      <w:r>
        <w:rPr>
          <w:rFonts w:hint="eastAsia" w:ascii="Times New Roman" w:hAnsi="Times New Roman" w:cs="Times New Roman"/>
          <w:sz w:val="24"/>
          <w:szCs w:val="28"/>
          <w:lang w:val="en-US" w:eastAsia="zh-Hans"/>
        </w:rPr>
        <w:t>.</w:t>
      </w:r>
      <w:r>
        <w:rPr>
          <w:rFonts w:hint="default" w:ascii="Times New Roman" w:hAnsi="Times New Roman" w:cs="Times New Roman"/>
          <w:sz w:val="24"/>
          <w:szCs w:val="28"/>
          <w:lang w:eastAsia="zh-Hans"/>
        </w:rPr>
        <w:t>93</w:t>
      </w:r>
      <w:r>
        <w:rPr>
          <w:rFonts w:ascii="Times New Roman" w:hAnsi="Times New Roman" w:cs="Times New Roman"/>
          <w:sz w:val="24"/>
          <w:szCs w:val="28"/>
        </w:rPr>
        <w:t>册</w:t>
      </w:r>
      <w:r>
        <w:rPr>
          <w:rFonts w:hint="eastAsia" w:ascii="Times New Roman" w:hAnsi="Times New Roman" w:cs="Times New Roman"/>
          <w:sz w:val="24"/>
          <w:szCs w:val="28"/>
        </w:rPr>
        <w:t>，</w:t>
      </w:r>
      <w:r>
        <w:rPr>
          <w:rFonts w:hint="eastAsia" w:ascii="Times New Roman" w:hAnsi="Times New Roman" w:cs="Times New Roman"/>
          <w:sz w:val="24"/>
          <w:szCs w:val="28"/>
          <w:lang w:val="en-US" w:eastAsia="zh-Hans"/>
        </w:rPr>
        <w:t>远</w:t>
      </w:r>
      <w:r>
        <w:rPr>
          <w:rFonts w:hint="eastAsia" w:ascii="Times New Roman" w:hAnsi="Times New Roman" w:cs="Times New Roman"/>
          <w:sz w:val="24"/>
          <w:szCs w:val="28"/>
          <w:lang w:val="en-US"/>
        </w:rPr>
        <w:t>高于</w:t>
      </w:r>
      <w:r>
        <w:rPr>
          <w:rFonts w:hint="eastAsia" w:ascii="Times New Roman" w:hAnsi="Times New Roman" w:cs="Times New Roman"/>
          <w:sz w:val="24"/>
          <w:szCs w:val="28"/>
        </w:rPr>
        <w:t>设置标准；</w:t>
      </w:r>
      <w:r>
        <w:rPr>
          <w:rFonts w:ascii="Times New Roman" w:hAnsi="Times New Roman" w:cs="Times New Roman"/>
          <w:sz w:val="24"/>
          <w:szCs w:val="28"/>
        </w:rPr>
        <w:t>电子图书为</w:t>
      </w:r>
      <w:r>
        <w:rPr>
          <w:rFonts w:hint="default" w:ascii="Times New Roman" w:hAnsi="Times New Roman" w:cs="Times New Roman"/>
          <w:sz w:val="24"/>
          <w:szCs w:val="28"/>
        </w:rPr>
        <w:t>2</w:t>
      </w:r>
      <w:r>
        <w:rPr>
          <w:rFonts w:hint="eastAsia" w:ascii="Times New Roman" w:hAnsi="Times New Roman" w:cs="Times New Roman"/>
          <w:sz w:val="24"/>
          <w:szCs w:val="28"/>
        </w:rPr>
        <w:t>万</w:t>
      </w:r>
      <w:r>
        <w:rPr>
          <w:rFonts w:ascii="Times New Roman" w:hAnsi="Times New Roman" w:cs="Times New Roman"/>
          <w:sz w:val="24"/>
          <w:szCs w:val="28"/>
        </w:rPr>
        <w:t>册</w:t>
      </w:r>
      <w:r>
        <w:rPr>
          <w:rFonts w:hint="eastAsia" w:ascii="Times New Roman" w:hAnsi="Times New Roman" w:cs="Times New Roman"/>
          <w:sz w:val="24"/>
          <w:szCs w:val="28"/>
        </w:rPr>
        <w:t>；</w:t>
      </w:r>
      <w:r>
        <w:rPr>
          <w:rFonts w:ascii="Times New Roman" w:hAnsi="Times New Roman" w:cs="Times New Roman"/>
          <w:sz w:val="24"/>
          <w:szCs w:val="28"/>
        </w:rPr>
        <w:t>期刊</w:t>
      </w:r>
      <w:r>
        <w:rPr>
          <w:rFonts w:hint="eastAsia" w:ascii="Times New Roman" w:hAnsi="Times New Roman" w:cs="Times New Roman"/>
          <w:sz w:val="24"/>
          <w:szCs w:val="28"/>
        </w:rPr>
        <w:t>杂志</w:t>
      </w:r>
      <w:r>
        <w:rPr>
          <w:rFonts w:ascii="Times New Roman" w:hAnsi="Times New Roman" w:cs="Times New Roman"/>
          <w:sz w:val="24"/>
          <w:szCs w:val="28"/>
        </w:rPr>
        <w:t>订阅种类数有</w:t>
      </w:r>
      <w:r>
        <w:rPr>
          <w:rFonts w:hint="default" w:ascii="Times New Roman" w:hAnsi="Times New Roman" w:cs="Times New Roman"/>
          <w:sz w:val="24"/>
          <w:szCs w:val="28"/>
        </w:rPr>
        <w:t>45</w:t>
      </w:r>
      <w:r>
        <w:rPr>
          <w:rFonts w:ascii="Times New Roman" w:hAnsi="Times New Roman" w:cs="Times New Roman"/>
          <w:sz w:val="24"/>
          <w:szCs w:val="28"/>
        </w:rPr>
        <w:t>种</w:t>
      </w:r>
      <w:r>
        <w:rPr>
          <w:rFonts w:hint="eastAsia" w:ascii="Times New Roman" w:hAnsi="Times New Roman" w:cs="Times New Roman"/>
          <w:sz w:val="24"/>
          <w:szCs w:val="28"/>
        </w:rPr>
        <w:t>；图书馆阅览室配置座位数</w:t>
      </w:r>
      <w:r>
        <w:rPr>
          <w:rFonts w:hint="default" w:ascii="Times New Roman" w:hAnsi="Times New Roman" w:cs="Times New Roman"/>
          <w:sz w:val="24"/>
          <w:szCs w:val="28"/>
        </w:rPr>
        <w:t>906</w:t>
      </w:r>
      <w:r>
        <w:rPr>
          <w:rFonts w:ascii="Times New Roman" w:hAnsi="Times New Roman" w:cs="Times New Roman"/>
          <w:sz w:val="24"/>
          <w:szCs w:val="28"/>
        </w:rPr>
        <w:t>个</w:t>
      </w:r>
      <w:r>
        <w:rPr>
          <w:rFonts w:hint="eastAsia" w:ascii="Times New Roman" w:hAnsi="Times New Roman" w:cs="Times New Roman"/>
          <w:sz w:val="24"/>
          <w:szCs w:val="28"/>
        </w:rPr>
        <w:t>，其中学生座位数</w:t>
      </w:r>
      <w:r>
        <w:rPr>
          <w:rFonts w:hint="default" w:ascii="Times New Roman" w:hAnsi="Times New Roman" w:cs="Times New Roman"/>
          <w:sz w:val="24"/>
          <w:szCs w:val="28"/>
        </w:rPr>
        <w:t>846</w:t>
      </w:r>
      <w:r>
        <w:rPr>
          <w:rFonts w:hint="eastAsia" w:ascii="Times New Roman" w:hAnsi="Times New Roman" w:cs="Times New Roman"/>
          <w:sz w:val="24"/>
          <w:szCs w:val="28"/>
        </w:rPr>
        <w:t>个、教师座位数6</w:t>
      </w:r>
      <w:r>
        <w:rPr>
          <w:rFonts w:hint="default" w:ascii="Times New Roman" w:hAnsi="Times New Roman" w:cs="Times New Roman"/>
          <w:sz w:val="24"/>
          <w:szCs w:val="28"/>
        </w:rPr>
        <w:t>0</w:t>
      </w:r>
      <w:r>
        <w:rPr>
          <w:rFonts w:hint="eastAsia" w:ascii="Times New Roman" w:hAnsi="Times New Roman" w:cs="Times New Roman"/>
          <w:sz w:val="24"/>
          <w:szCs w:val="28"/>
        </w:rPr>
        <w:t>个。</w:t>
      </w:r>
    </w:p>
    <w:p>
      <w:pPr>
        <w:pStyle w:val="34"/>
        <w:ind w:firstLine="562"/>
        <w:rPr>
          <w:rFonts w:ascii="Times New Roman" w:hAnsi="Times New Roman" w:cs="Times New Roman"/>
          <w:b/>
        </w:rPr>
      </w:pPr>
      <w:r>
        <w:rPr>
          <w:rFonts w:ascii="Times New Roman" w:hAnsi="Times New Roman" w:cs="Times New Roman"/>
          <w:b/>
        </w:rPr>
        <w:t>4.信息化建设</w:t>
      </w:r>
    </w:p>
    <w:p>
      <w:pPr>
        <w:pStyle w:val="34"/>
        <w:spacing w:line="300" w:lineRule="auto"/>
        <w:ind w:firstLine="480"/>
        <w:rPr>
          <w:rFonts w:ascii="Times New Roman" w:hAnsi="Times New Roman" w:cs="Times New Roman"/>
          <w:sz w:val="24"/>
          <w:szCs w:val="28"/>
        </w:rPr>
      </w:pPr>
      <w:r>
        <w:rPr>
          <w:rFonts w:hint="eastAsia" w:ascii="Times New Roman" w:hAnsi="Times New Roman" w:cs="Times New Roman"/>
          <w:sz w:val="24"/>
          <w:szCs w:val="28"/>
        </w:rPr>
        <w:t>本学年，</w:t>
      </w:r>
      <w:r>
        <w:rPr>
          <w:rFonts w:ascii="Times New Roman" w:hAnsi="Times New Roman" w:cs="Times New Roman"/>
          <w:sz w:val="24"/>
          <w:szCs w:val="28"/>
        </w:rPr>
        <w:t>学校</w:t>
      </w:r>
      <w:r>
        <w:rPr>
          <w:rFonts w:hint="eastAsia" w:ascii="Times New Roman" w:hAnsi="Times New Roman" w:cs="Times New Roman"/>
          <w:sz w:val="24"/>
          <w:szCs w:val="28"/>
        </w:rPr>
        <w:t>加强投入，完善校园信息化建设。目前学校网络出口总带宽达到</w:t>
      </w:r>
      <w:r>
        <w:rPr>
          <w:rFonts w:hint="eastAsia" w:ascii="Times New Roman" w:hAnsi="Times New Roman" w:cs="Times New Roman"/>
          <w:sz w:val="24"/>
          <w:szCs w:val="28"/>
          <w:lang w:val="en-US" w:eastAsia="zh-CN"/>
        </w:rPr>
        <w:t>3800</w:t>
      </w:r>
      <w:r>
        <w:rPr>
          <w:rFonts w:hint="eastAsia" w:ascii="Times New Roman" w:hAnsi="Times New Roman" w:cs="Times New Roman"/>
          <w:sz w:val="24"/>
          <w:szCs w:val="28"/>
        </w:rPr>
        <w:t>Mbps，服务器台数</w:t>
      </w:r>
      <w:r>
        <w:rPr>
          <w:rFonts w:hint="eastAsia" w:ascii="Times New Roman" w:hAnsi="Times New Roman" w:cs="Times New Roman"/>
          <w:sz w:val="24"/>
          <w:szCs w:val="28"/>
          <w:lang w:val="en-US" w:eastAsia="zh-CN"/>
        </w:rPr>
        <w:t>14</w:t>
      </w:r>
      <w:r>
        <w:rPr>
          <w:rFonts w:hint="eastAsia" w:ascii="Times New Roman" w:hAnsi="Times New Roman" w:cs="Times New Roman"/>
          <w:sz w:val="24"/>
          <w:szCs w:val="28"/>
        </w:rPr>
        <w:t>台，教学用计算机</w:t>
      </w:r>
      <w:r>
        <w:rPr>
          <w:rFonts w:hint="eastAsia" w:ascii="Times New Roman" w:hAnsi="Times New Roman" w:cs="Times New Roman"/>
          <w:sz w:val="24"/>
          <w:szCs w:val="28"/>
          <w:lang w:val="en-US" w:eastAsia="zh-CN"/>
        </w:rPr>
        <w:t>1090</w:t>
      </w:r>
      <w:r>
        <w:rPr>
          <w:rFonts w:hint="eastAsia" w:ascii="Times New Roman" w:hAnsi="Times New Roman" w:cs="Times New Roman"/>
          <w:sz w:val="24"/>
          <w:szCs w:val="28"/>
        </w:rPr>
        <w:t>台，</w:t>
      </w:r>
      <w:r>
        <w:rPr>
          <w:rFonts w:ascii="Times New Roman" w:hAnsi="Times New Roman" w:cs="Times New Roman"/>
          <w:sz w:val="24"/>
          <w:szCs w:val="28"/>
        </w:rPr>
        <w:t>每百生教学用计算机</w:t>
      </w:r>
      <w:r>
        <w:rPr>
          <w:rFonts w:ascii="Times New Roman" w:hAnsi="Times New Roman" w:cs="Times New Roman"/>
          <w:sz w:val="24"/>
          <w:szCs w:val="28"/>
          <w:vertAlign w:val="superscript"/>
        </w:rPr>
        <w:footnoteReference w:id="10"/>
      </w:r>
      <w:r>
        <w:rPr>
          <w:rFonts w:ascii="Times New Roman" w:hAnsi="Times New Roman" w:cs="Times New Roman"/>
          <w:sz w:val="24"/>
          <w:szCs w:val="28"/>
        </w:rPr>
        <w:t>数量为</w:t>
      </w:r>
      <w:r>
        <w:rPr>
          <w:rFonts w:hint="eastAsia" w:ascii="Times New Roman" w:hAnsi="Times New Roman" w:cs="Times New Roman"/>
          <w:sz w:val="24"/>
          <w:szCs w:val="28"/>
          <w:lang w:val="en-US" w:eastAsia="zh-CN"/>
        </w:rPr>
        <w:t>74.5</w:t>
      </w:r>
      <w:r>
        <w:rPr>
          <w:rFonts w:ascii="Times New Roman" w:hAnsi="Times New Roman" w:cs="Times New Roman"/>
          <w:sz w:val="24"/>
          <w:szCs w:val="28"/>
        </w:rPr>
        <w:t>台</w:t>
      </w:r>
      <w:r>
        <w:rPr>
          <w:rFonts w:hint="eastAsia" w:ascii="Times New Roman" w:hAnsi="Times New Roman" w:cs="Times New Roman"/>
          <w:sz w:val="24"/>
          <w:szCs w:val="28"/>
        </w:rPr>
        <w:t>，达到中等职业学校设置所规定的标准；</w:t>
      </w:r>
      <w:r>
        <w:rPr>
          <w:rFonts w:hint="eastAsia" w:ascii="Times New Roman" w:hAnsi="Times New Roman" w:cs="Times New Roman"/>
          <w:color w:val="000000" w:themeColor="text1"/>
          <w:sz w:val="24"/>
          <w:szCs w:val="28"/>
          <w14:textFill>
            <w14:solidFill>
              <w14:schemeClr w14:val="tx1"/>
            </w14:solidFill>
          </w14:textFill>
        </w:rPr>
        <w:t>多媒体教室</w:t>
      </w:r>
      <w:r>
        <w:rPr>
          <w:rFonts w:hint="eastAsia" w:ascii="Times New Roman" w:hAnsi="Times New Roman" w:cs="Times New Roman"/>
          <w:color w:val="000000" w:themeColor="text1"/>
          <w:sz w:val="24"/>
          <w:szCs w:val="28"/>
          <w:lang w:val="en-US" w:eastAsia="zh-CN"/>
          <w14:textFill>
            <w14:solidFill>
              <w14:schemeClr w14:val="tx1"/>
            </w14:solidFill>
          </w14:textFill>
        </w:rPr>
        <w:t>115</w:t>
      </w:r>
      <w:r>
        <w:rPr>
          <w:rFonts w:hint="eastAsia" w:ascii="Times New Roman" w:hAnsi="Times New Roman" w:cs="Times New Roman"/>
          <w:color w:val="000000" w:themeColor="text1"/>
          <w:sz w:val="24"/>
          <w:szCs w:val="28"/>
          <w14:textFill>
            <w14:solidFill>
              <w14:schemeClr w14:val="tx1"/>
            </w14:solidFill>
          </w14:textFill>
        </w:rPr>
        <w:t>间。</w:t>
      </w:r>
      <w:r>
        <w:rPr>
          <w:rFonts w:hint="eastAsia" w:ascii="Times New Roman" w:hAnsi="Times New Roman" w:cs="Times New Roman"/>
          <w:sz w:val="24"/>
          <w:szCs w:val="28"/>
        </w:rPr>
        <w:t>学校建有</w:t>
      </w:r>
      <w:r>
        <w:rPr>
          <w:rFonts w:ascii="Times New Roman" w:hAnsi="Times New Roman" w:cs="Times New Roman"/>
          <w:sz w:val="24"/>
          <w:szCs w:val="28"/>
        </w:rPr>
        <w:t>校园门户网站、协同办公系统、教务管理系统、课程资源共享应用和师生互动学习应用，并搭建了课程直播、录播平台，建立了课程资源库。校园基础网络情况统计见表1-</w:t>
      </w:r>
      <w:r>
        <w:rPr>
          <w:rFonts w:hint="eastAsia" w:ascii="Times New Roman" w:hAnsi="Times New Roman" w:cs="Times New Roman"/>
          <w:sz w:val="24"/>
          <w:szCs w:val="28"/>
        </w:rPr>
        <w:t>8</w:t>
      </w:r>
      <w:r>
        <w:rPr>
          <w:rFonts w:ascii="Times New Roman" w:hAnsi="Times New Roman" w:cs="Times New Roman"/>
          <w:sz w:val="24"/>
          <w:szCs w:val="28"/>
        </w:rPr>
        <w:t>。</w:t>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表1-</w:t>
      </w:r>
      <w:r>
        <w:rPr>
          <w:rFonts w:hint="eastAsia" w:ascii="Times New Roman" w:hAnsi="Times New Roman" w:cs="Times New Roman"/>
          <w:b/>
          <w:color w:val="000000" w:themeColor="text1"/>
          <w:kern w:val="2"/>
          <w:sz w:val="21"/>
          <w:szCs w:val="21"/>
          <w14:textFill>
            <w14:solidFill>
              <w14:schemeClr w14:val="tx1"/>
            </w14:solidFill>
          </w14:textFill>
        </w:rPr>
        <w:t>8</w:t>
      </w:r>
      <w:r>
        <w:rPr>
          <w:rFonts w:ascii="Times New Roman" w:hAnsi="Times New Roman" w:cs="Times New Roman"/>
          <w:b/>
          <w:color w:val="000000" w:themeColor="text1"/>
          <w:kern w:val="2"/>
          <w:sz w:val="21"/>
          <w:szCs w:val="21"/>
          <w14:textFill>
            <w14:solidFill>
              <w14:schemeClr w14:val="tx1"/>
            </w14:solidFill>
          </w14:textFill>
        </w:rPr>
        <w:t xml:space="preserve">  校园信息化建设状况建设统计表</w:t>
      </w:r>
    </w:p>
    <w:tbl>
      <w:tblPr>
        <w:tblStyle w:val="17"/>
        <w:tblW w:w="8278" w:type="dxa"/>
        <w:jc w:val="center"/>
        <w:tblLayout w:type="fixed"/>
        <w:tblCellMar>
          <w:top w:w="15" w:type="dxa"/>
          <w:left w:w="15" w:type="dxa"/>
          <w:bottom w:w="15" w:type="dxa"/>
          <w:right w:w="15" w:type="dxa"/>
        </w:tblCellMar>
      </w:tblPr>
      <w:tblGrid>
        <w:gridCol w:w="932"/>
        <w:gridCol w:w="5072"/>
        <w:gridCol w:w="2274"/>
      </w:tblGrid>
      <w:tr>
        <w:tblPrEx>
          <w:tblCellMar>
            <w:top w:w="15" w:type="dxa"/>
            <w:left w:w="15" w:type="dxa"/>
            <w:bottom w:w="15" w:type="dxa"/>
            <w:right w:w="15" w:type="dxa"/>
          </w:tblCellMar>
        </w:tblPrEx>
        <w:trPr>
          <w:trHeight w:val="397" w:hRule="atLeast"/>
          <w:jc w:val="center"/>
        </w:trPr>
        <w:tc>
          <w:tcPr>
            <w:tcW w:w="959" w:type="dxa"/>
            <w:tcBorders>
              <w:top w:val="single" w:color="000000" w:sz="4" w:space="0"/>
              <w:left w:val="single" w:color="000000" w:sz="4" w:space="0"/>
              <w:bottom w:val="single" w:color="000000" w:sz="4" w:space="0"/>
              <w:right w:val="single" w:color="000000" w:sz="4" w:space="0"/>
            </w:tcBorders>
            <w:shd w:val="clear" w:color="auto" w:fill="C6D9F0" w:themeFill="text2" w:themeFillTint="33"/>
            <w:vAlign w:val="center"/>
          </w:tcPr>
          <w:p>
            <w:pPr>
              <w:widowControl/>
              <w:jc w:val="center"/>
              <w:rPr>
                <w:rFonts w:ascii="Times New Roman" w:hAnsi="Times New Roman"/>
                <w:b/>
                <w:color w:val="000000"/>
                <w:kern w:val="0"/>
                <w:szCs w:val="21"/>
              </w:rPr>
            </w:pPr>
            <w:r>
              <w:rPr>
                <w:rFonts w:ascii="Times New Roman" w:hAnsi="Times New Roman"/>
                <w:b/>
                <w:color w:val="000000"/>
                <w:kern w:val="0"/>
                <w:szCs w:val="21"/>
              </w:rPr>
              <w:t>序号</w:t>
            </w:r>
          </w:p>
        </w:tc>
        <w:tc>
          <w:tcPr>
            <w:tcW w:w="5222" w:type="dxa"/>
            <w:tcBorders>
              <w:top w:val="single" w:color="000000" w:sz="4" w:space="0"/>
              <w:left w:val="single" w:color="000000" w:sz="4" w:space="0"/>
              <w:bottom w:val="single" w:color="000000" w:sz="4" w:space="0"/>
              <w:right w:val="single" w:color="000000" w:sz="4" w:space="0"/>
            </w:tcBorders>
            <w:shd w:val="clear" w:color="auto" w:fill="C6D9F0" w:themeFill="text2" w:themeFillTint="33"/>
            <w:vAlign w:val="center"/>
          </w:tcPr>
          <w:p>
            <w:pPr>
              <w:widowControl/>
              <w:jc w:val="center"/>
              <w:rPr>
                <w:rFonts w:ascii="Times New Roman" w:hAnsi="Times New Roman"/>
                <w:b/>
                <w:color w:val="000000"/>
                <w:kern w:val="0"/>
                <w:szCs w:val="21"/>
              </w:rPr>
            </w:pPr>
            <w:r>
              <w:rPr>
                <w:rFonts w:ascii="Times New Roman" w:hAnsi="Times New Roman"/>
                <w:b/>
                <w:color w:val="000000"/>
                <w:kern w:val="0"/>
                <w:szCs w:val="21"/>
              </w:rPr>
              <w:t>指标</w:t>
            </w:r>
          </w:p>
        </w:tc>
        <w:tc>
          <w:tcPr>
            <w:tcW w:w="2340" w:type="dxa"/>
            <w:tcBorders>
              <w:top w:val="single" w:color="000000" w:sz="4" w:space="0"/>
              <w:left w:val="single" w:color="000000" w:sz="4" w:space="0"/>
              <w:bottom w:val="single" w:color="000000" w:sz="4" w:space="0"/>
              <w:right w:val="single" w:color="000000" w:sz="4" w:space="0"/>
            </w:tcBorders>
            <w:shd w:val="clear" w:color="auto" w:fill="C6D9F0" w:themeFill="text2" w:themeFillTint="33"/>
            <w:vAlign w:val="center"/>
          </w:tcPr>
          <w:p>
            <w:pPr>
              <w:widowControl/>
              <w:jc w:val="center"/>
              <w:rPr>
                <w:rFonts w:ascii="Times New Roman" w:hAnsi="Times New Roman"/>
                <w:b/>
                <w:color w:val="000000"/>
                <w:kern w:val="0"/>
                <w:szCs w:val="21"/>
              </w:rPr>
            </w:pPr>
            <w:r>
              <w:rPr>
                <w:rFonts w:hint="eastAsia" w:ascii="Times New Roman" w:hAnsi="Times New Roman"/>
                <w:b/>
                <w:color w:val="000000"/>
                <w:kern w:val="0"/>
                <w:szCs w:val="21"/>
                <w:highlight w:val="none"/>
                <w:lang w:eastAsia="zh-CN"/>
              </w:rPr>
              <w:t>2</w:t>
            </w:r>
            <w:r>
              <w:rPr>
                <w:rFonts w:hint="eastAsia" w:ascii="Times New Roman" w:hAnsi="Times New Roman"/>
                <w:b/>
                <w:color w:val="000000"/>
                <w:kern w:val="0"/>
                <w:szCs w:val="21"/>
                <w:highlight w:val="none"/>
                <w:lang w:val="en-US" w:eastAsia="zh-CN"/>
              </w:rPr>
              <w:t>020-2021</w:t>
            </w:r>
            <w:r>
              <w:rPr>
                <w:rFonts w:ascii="Times New Roman" w:hAnsi="Times New Roman"/>
                <w:b/>
                <w:color w:val="000000"/>
                <w:kern w:val="0"/>
                <w:szCs w:val="21"/>
              </w:rPr>
              <w:t>学年</w:t>
            </w:r>
          </w:p>
        </w:tc>
      </w:tr>
      <w:tr>
        <w:tblPrEx>
          <w:tblCellMar>
            <w:top w:w="15" w:type="dxa"/>
            <w:left w:w="15" w:type="dxa"/>
            <w:bottom w:w="15" w:type="dxa"/>
            <w:right w:w="15" w:type="dxa"/>
          </w:tblCellMar>
        </w:tblPrEx>
        <w:trPr>
          <w:trHeight w:val="397" w:hRule="atLeast"/>
          <w:jc w:val="center"/>
        </w:trPr>
        <w:tc>
          <w:tcPr>
            <w:tcW w:w="9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1</w:t>
            </w:r>
          </w:p>
        </w:tc>
        <w:tc>
          <w:tcPr>
            <w:tcW w:w="522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olor w:val="000000"/>
                <w:szCs w:val="21"/>
              </w:rPr>
            </w:pPr>
            <w:r>
              <w:rPr>
                <w:rFonts w:ascii="Times New Roman" w:hAnsi="Times New Roman"/>
                <w:color w:val="000000"/>
                <w:kern w:val="0"/>
                <w:szCs w:val="21"/>
              </w:rPr>
              <w:t>出口总带宽（Mbps）</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宋体"/>
                <w:color w:val="000000"/>
                <w:szCs w:val="21"/>
                <w:lang w:val="en-US" w:eastAsia="zh-CN"/>
              </w:rPr>
            </w:pPr>
            <w:r>
              <w:rPr>
                <w:rFonts w:hint="eastAsia" w:ascii="Times New Roman" w:hAnsi="Times New Roman"/>
                <w:color w:val="000000"/>
                <w:szCs w:val="21"/>
                <w:lang w:val="en-US" w:eastAsia="zh-CN"/>
              </w:rPr>
              <w:t>3800</w:t>
            </w:r>
          </w:p>
        </w:tc>
      </w:tr>
      <w:tr>
        <w:tblPrEx>
          <w:tblCellMar>
            <w:top w:w="15" w:type="dxa"/>
            <w:left w:w="15" w:type="dxa"/>
            <w:bottom w:w="15" w:type="dxa"/>
            <w:right w:w="15" w:type="dxa"/>
          </w:tblCellMar>
        </w:tblPrEx>
        <w:trPr>
          <w:trHeight w:val="397" w:hRule="atLeast"/>
          <w:jc w:val="center"/>
        </w:trPr>
        <w:tc>
          <w:tcPr>
            <w:tcW w:w="9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2</w:t>
            </w:r>
          </w:p>
        </w:tc>
        <w:tc>
          <w:tcPr>
            <w:tcW w:w="522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olor w:val="000000"/>
                <w:szCs w:val="21"/>
              </w:rPr>
            </w:pPr>
            <w:r>
              <w:rPr>
                <w:rFonts w:ascii="Times New Roman" w:hAnsi="Times New Roman"/>
                <w:color w:val="000000"/>
                <w:kern w:val="0"/>
                <w:szCs w:val="21"/>
              </w:rPr>
              <w:t>校园网主干最大带宽（Mbps）</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olor w:val="000000"/>
                <w:szCs w:val="21"/>
              </w:rPr>
            </w:pPr>
            <w:r>
              <w:rPr>
                <w:rFonts w:ascii="Times New Roman" w:hAnsi="Times New Roman"/>
                <w:color w:val="000000"/>
                <w:szCs w:val="21"/>
              </w:rPr>
              <w:t>1000</w:t>
            </w:r>
            <w:r>
              <w:rPr>
                <w:rFonts w:hint="eastAsia" w:ascii="Times New Roman" w:hAnsi="Times New Roman"/>
                <w:color w:val="000000"/>
                <w:szCs w:val="21"/>
              </w:rPr>
              <w:t>0</w:t>
            </w:r>
          </w:p>
        </w:tc>
      </w:tr>
      <w:tr>
        <w:tblPrEx>
          <w:tblCellMar>
            <w:top w:w="15" w:type="dxa"/>
            <w:left w:w="15" w:type="dxa"/>
            <w:bottom w:w="15" w:type="dxa"/>
            <w:right w:w="15" w:type="dxa"/>
          </w:tblCellMar>
        </w:tblPrEx>
        <w:trPr>
          <w:trHeight w:val="397" w:hRule="atLeast"/>
          <w:jc w:val="center"/>
        </w:trPr>
        <w:tc>
          <w:tcPr>
            <w:tcW w:w="9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3</w:t>
            </w:r>
          </w:p>
        </w:tc>
        <w:tc>
          <w:tcPr>
            <w:tcW w:w="522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olor w:val="000000"/>
                <w:szCs w:val="21"/>
              </w:rPr>
            </w:pPr>
            <w:r>
              <w:rPr>
                <w:rFonts w:ascii="Times New Roman" w:hAnsi="Times New Roman"/>
                <w:color w:val="000000"/>
                <w:kern w:val="0"/>
                <w:szCs w:val="21"/>
              </w:rPr>
              <w:t>服务器台数（台）</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宋体"/>
                <w:color w:val="000000"/>
                <w:szCs w:val="21"/>
                <w:lang w:val="en-US" w:eastAsia="zh-CN"/>
              </w:rPr>
            </w:pPr>
            <w:r>
              <w:rPr>
                <w:rFonts w:hint="eastAsia" w:ascii="Times New Roman" w:hAnsi="Times New Roman"/>
                <w:color w:val="000000"/>
                <w:szCs w:val="21"/>
                <w:lang w:val="en-US" w:eastAsia="zh-CN"/>
              </w:rPr>
              <w:t>14</w:t>
            </w:r>
          </w:p>
        </w:tc>
      </w:tr>
      <w:tr>
        <w:tblPrEx>
          <w:tblCellMar>
            <w:top w:w="15" w:type="dxa"/>
            <w:left w:w="15" w:type="dxa"/>
            <w:bottom w:w="15" w:type="dxa"/>
            <w:right w:w="15" w:type="dxa"/>
          </w:tblCellMar>
        </w:tblPrEx>
        <w:trPr>
          <w:trHeight w:val="397" w:hRule="atLeast"/>
          <w:jc w:val="center"/>
        </w:trPr>
        <w:tc>
          <w:tcPr>
            <w:tcW w:w="9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olor w:val="000000"/>
                <w:kern w:val="0"/>
                <w:szCs w:val="21"/>
              </w:rPr>
            </w:pPr>
            <w:r>
              <w:rPr>
                <w:rFonts w:hint="eastAsia" w:ascii="Times New Roman" w:hAnsi="Times New Roman"/>
                <w:color w:val="000000"/>
                <w:kern w:val="0"/>
                <w:szCs w:val="21"/>
              </w:rPr>
              <w:t>4</w:t>
            </w:r>
          </w:p>
        </w:tc>
        <w:tc>
          <w:tcPr>
            <w:tcW w:w="522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olor w:val="000000"/>
                <w:szCs w:val="21"/>
              </w:rPr>
            </w:pPr>
            <w:r>
              <w:rPr>
                <w:rFonts w:ascii="Times New Roman" w:hAnsi="Times New Roman"/>
                <w:color w:val="000000"/>
                <w:kern w:val="0"/>
                <w:szCs w:val="21"/>
              </w:rPr>
              <w:t>教学用计算机数量</w:t>
            </w:r>
            <w:r>
              <w:rPr>
                <w:rFonts w:hint="eastAsia" w:ascii="Times New Roman" w:hAnsi="Times New Roman"/>
                <w:color w:val="000000"/>
                <w:kern w:val="0"/>
                <w:szCs w:val="21"/>
                <w:lang w:eastAsia="zh-CN"/>
              </w:rPr>
              <w:t>（</w:t>
            </w:r>
            <w:r>
              <w:rPr>
                <w:rFonts w:ascii="Times New Roman" w:hAnsi="Times New Roman"/>
                <w:color w:val="000000"/>
                <w:kern w:val="0"/>
                <w:szCs w:val="21"/>
              </w:rPr>
              <w:t>台</w:t>
            </w:r>
            <w:r>
              <w:rPr>
                <w:rFonts w:hint="eastAsia" w:ascii="Times New Roman" w:hAnsi="Times New Roman"/>
                <w:color w:val="000000"/>
                <w:kern w:val="0"/>
                <w:szCs w:val="21"/>
                <w:lang w:eastAsia="zh-CN"/>
              </w:rPr>
              <w:t>）</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宋体"/>
                <w:color w:val="000000"/>
                <w:szCs w:val="21"/>
                <w:lang w:val="en-US" w:eastAsia="zh-CN"/>
              </w:rPr>
            </w:pPr>
            <w:r>
              <w:rPr>
                <w:rFonts w:hint="eastAsia" w:ascii="Times New Roman" w:hAnsi="Times New Roman"/>
                <w:color w:val="000000"/>
                <w:szCs w:val="21"/>
                <w:lang w:val="en-US" w:eastAsia="zh-CN"/>
              </w:rPr>
              <w:t>1090</w:t>
            </w:r>
          </w:p>
        </w:tc>
      </w:tr>
      <w:tr>
        <w:tblPrEx>
          <w:tblCellMar>
            <w:top w:w="15" w:type="dxa"/>
            <w:left w:w="15" w:type="dxa"/>
            <w:bottom w:w="15" w:type="dxa"/>
            <w:right w:w="15" w:type="dxa"/>
          </w:tblCellMar>
        </w:tblPrEx>
        <w:trPr>
          <w:trHeight w:val="397" w:hRule="atLeast"/>
          <w:jc w:val="center"/>
        </w:trPr>
        <w:tc>
          <w:tcPr>
            <w:tcW w:w="9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olor w:val="000000"/>
                <w:kern w:val="0"/>
                <w:szCs w:val="21"/>
              </w:rPr>
            </w:pPr>
            <w:r>
              <w:rPr>
                <w:rFonts w:hint="eastAsia" w:ascii="Times New Roman" w:hAnsi="Times New Roman"/>
                <w:color w:val="000000"/>
                <w:kern w:val="0"/>
                <w:szCs w:val="21"/>
              </w:rPr>
              <w:t>5</w:t>
            </w:r>
          </w:p>
        </w:tc>
        <w:tc>
          <w:tcPr>
            <w:tcW w:w="522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olor w:val="000000"/>
                <w:szCs w:val="21"/>
              </w:rPr>
            </w:pPr>
            <w:r>
              <w:rPr>
                <w:rFonts w:ascii="Times New Roman" w:hAnsi="Times New Roman"/>
                <w:color w:val="000000"/>
                <w:kern w:val="0"/>
                <w:szCs w:val="21"/>
              </w:rPr>
              <w:t>生均教学用计算机数量（台/100人）</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宋体"/>
                <w:color w:val="000000" w:themeColor="text1"/>
                <w:szCs w:val="21"/>
                <w:lang w:val="en-US" w:eastAsia="zh-CN"/>
                <w14:textFill>
                  <w14:solidFill>
                    <w14:schemeClr w14:val="tx1"/>
                  </w14:solidFill>
                </w14:textFill>
              </w:rPr>
            </w:pPr>
            <w:r>
              <w:rPr>
                <w:rFonts w:hint="eastAsia" w:ascii="Times New Roman" w:hAnsi="Times New Roman"/>
                <w:color w:val="000000" w:themeColor="text1"/>
                <w:szCs w:val="21"/>
                <w:lang w:val="en-US" w:eastAsia="zh-CN"/>
                <w14:textFill>
                  <w14:solidFill>
                    <w14:schemeClr w14:val="tx1"/>
                  </w14:solidFill>
                </w14:textFill>
              </w:rPr>
              <w:t>74.5</w:t>
            </w:r>
          </w:p>
        </w:tc>
      </w:tr>
      <w:tr>
        <w:trPr>
          <w:trHeight w:val="397" w:hRule="atLeast"/>
          <w:jc w:val="center"/>
        </w:trPr>
        <w:tc>
          <w:tcPr>
            <w:tcW w:w="959"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olor w:val="000000"/>
                <w:kern w:val="0"/>
                <w:szCs w:val="21"/>
              </w:rPr>
            </w:pPr>
            <w:r>
              <w:rPr>
                <w:rFonts w:hint="eastAsia" w:ascii="Times New Roman" w:hAnsi="Times New Roman"/>
                <w:color w:val="000000"/>
                <w:kern w:val="0"/>
                <w:szCs w:val="21"/>
              </w:rPr>
              <w:t>6</w:t>
            </w:r>
          </w:p>
        </w:tc>
        <w:tc>
          <w:tcPr>
            <w:tcW w:w="5222"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olor w:val="000000"/>
                <w:kern w:val="0"/>
                <w:szCs w:val="21"/>
              </w:rPr>
            </w:pPr>
            <w:r>
              <w:rPr>
                <w:rFonts w:ascii="Times New Roman" w:hAnsi="Times New Roman"/>
                <w:color w:val="000000"/>
                <w:kern w:val="0"/>
                <w:szCs w:val="21"/>
              </w:rPr>
              <w:t>网络多媒体教室数（间）</w:t>
            </w:r>
          </w:p>
        </w:tc>
        <w:tc>
          <w:tcPr>
            <w:tcW w:w="2340"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hint="default" w:ascii="Times New Roman" w:hAnsi="Times New Roman" w:eastAsia="宋体"/>
                <w:color w:val="FF0000"/>
                <w:szCs w:val="21"/>
                <w:lang w:val="en-US" w:eastAsia="zh-CN"/>
              </w:rPr>
            </w:pPr>
            <w:r>
              <w:rPr>
                <w:rFonts w:hint="eastAsia" w:ascii="Times New Roman" w:hAnsi="Times New Roman"/>
                <w:color w:val="000000" w:themeColor="text1"/>
                <w:szCs w:val="21"/>
                <w:lang w:val="en-US" w:eastAsia="zh-CN"/>
                <w14:textFill>
                  <w14:solidFill>
                    <w14:schemeClr w14:val="tx1"/>
                  </w14:solidFill>
                </w14:textFill>
              </w:rPr>
              <w:t>115</w:t>
            </w:r>
          </w:p>
        </w:tc>
      </w:tr>
    </w:tbl>
    <w:p>
      <w:pPr>
        <w:pStyle w:val="4"/>
        <w:spacing w:before="312" w:after="156"/>
        <w:rPr>
          <w:rFonts w:ascii="Times New Roman" w:hAnsi="Times New Roman"/>
        </w:rPr>
      </w:pPr>
      <w:bookmarkStart w:id="40" w:name="_Toc61256673"/>
      <w:bookmarkStart w:id="41" w:name="_Toc12925"/>
      <w:r>
        <w:rPr>
          <w:rFonts w:ascii="Times New Roman" w:hAnsi="Times New Roman"/>
        </w:rPr>
        <w:t>二、学生发展</w:t>
      </w:r>
      <w:bookmarkEnd w:id="40"/>
      <w:bookmarkEnd w:id="41"/>
    </w:p>
    <w:p>
      <w:pPr>
        <w:pStyle w:val="5"/>
        <w:rPr>
          <w:rFonts w:ascii="Times New Roman" w:hAnsi="Times New Roman"/>
        </w:rPr>
      </w:pPr>
      <w:bookmarkStart w:id="42" w:name="_Toc61256674"/>
      <w:bookmarkStart w:id="43" w:name="_Toc10387"/>
      <w:r>
        <w:rPr>
          <w:rFonts w:ascii="Times New Roman" w:hAnsi="Times New Roman"/>
        </w:rPr>
        <w:t>（一）学生素质</w:t>
      </w:r>
      <w:bookmarkEnd w:id="42"/>
      <w:bookmarkEnd w:id="43"/>
    </w:p>
    <w:p>
      <w:pPr>
        <w:pStyle w:val="34"/>
        <w:ind w:firstLine="562"/>
        <w:rPr>
          <w:rFonts w:ascii="Times New Roman" w:hAnsi="Times New Roman" w:cs="Times New Roman"/>
          <w:b/>
        </w:rPr>
      </w:pPr>
      <w:r>
        <w:rPr>
          <w:rFonts w:ascii="Times New Roman" w:hAnsi="Times New Roman" w:cs="Times New Roman"/>
          <w:b/>
        </w:rPr>
        <w:t>1.学生思想政治情况</w:t>
      </w:r>
    </w:p>
    <w:p>
      <w:pPr>
        <w:pStyle w:val="34"/>
        <w:spacing w:line="300" w:lineRule="auto"/>
        <w:ind w:firstLine="480"/>
        <w:rPr>
          <w:rFonts w:ascii="Times New Roman" w:hAnsi="Times New Roman" w:cs="Times New Roman"/>
          <w:color w:val="000000" w:themeColor="text1"/>
          <w:kern w:val="0"/>
          <w:sz w:val="24"/>
          <w:szCs w:val="28"/>
          <w14:textFill>
            <w14:solidFill>
              <w14:schemeClr w14:val="tx1"/>
            </w14:solidFill>
          </w14:textFill>
        </w:rPr>
      </w:pPr>
      <w:bookmarkStart w:id="44" w:name="OLE_LINK1"/>
      <w:bookmarkStart w:id="45" w:name="OLE_LINK3"/>
      <w:bookmarkStart w:id="46" w:name="OLE_LINK2"/>
      <w:r>
        <w:rPr>
          <w:rFonts w:hint="eastAsia" w:ascii="Times New Roman" w:hAnsi="Times New Roman" w:cs="Times New Roman"/>
          <w:color w:val="000000" w:themeColor="text1"/>
          <w:kern w:val="0"/>
          <w:sz w:val="24"/>
          <w:szCs w:val="28"/>
          <w14:textFill>
            <w14:solidFill>
              <w14:schemeClr w14:val="tx1"/>
            </w14:solidFill>
          </w14:textFill>
        </w:rPr>
        <w:t>加强学生思想道德修养是学校思想政治教育的工作重点，紧密结合少数民族地区学生的学习特点，</w:t>
      </w:r>
      <w:r>
        <w:rPr>
          <w:rFonts w:hint="eastAsia" w:ascii="Times New Roman" w:hAnsi="Times New Roman" w:cs="Times New Roman"/>
          <w:color w:val="000000" w:themeColor="text1"/>
          <w:kern w:val="0"/>
          <w:sz w:val="24"/>
          <w:szCs w:val="28"/>
          <w:lang w:val="en-US" w:eastAsia="zh-CN"/>
          <w14:textFill>
            <w14:solidFill>
              <w14:schemeClr w14:val="tx1"/>
            </w14:solidFill>
          </w14:textFill>
        </w:rPr>
        <w:t>认真学习贯彻中央、省、市有关学生思想政治工作的文件精神，开设思想政治课程和开展一系列的思想政治教育活动，以加强学生思想政治教育，积极引领学生思想进步</w:t>
      </w:r>
      <w:r>
        <w:rPr>
          <w:rFonts w:hint="eastAsia" w:ascii="Times New Roman" w:hAnsi="Times New Roman" w:cs="Times New Roman"/>
          <w:color w:val="000000" w:themeColor="text1"/>
          <w:kern w:val="0"/>
          <w:sz w:val="24"/>
          <w:szCs w:val="28"/>
          <w14:textFill>
            <w14:solidFill>
              <w14:schemeClr w14:val="tx1"/>
            </w14:solidFill>
          </w14:textFill>
        </w:rPr>
        <w:t>。</w:t>
      </w:r>
      <w:r>
        <w:rPr>
          <w:rFonts w:hint="eastAsia" w:ascii="Times New Roman" w:hAnsi="Times New Roman" w:cs="Times New Roman"/>
          <w:color w:val="000000" w:themeColor="text1"/>
          <w:kern w:val="0"/>
          <w:sz w:val="24"/>
          <w:szCs w:val="28"/>
          <w:lang w:val="en-US" w:eastAsia="zh-CN"/>
          <w14:textFill>
            <w14:solidFill>
              <w14:schemeClr w14:val="tx1"/>
            </w14:solidFill>
          </w14:textFill>
        </w:rPr>
        <w:t>2020-2021学年开展了</w:t>
      </w:r>
      <w:r>
        <w:rPr>
          <w:rFonts w:hint="eastAsia" w:ascii="Times New Roman" w:hAnsi="Times New Roman" w:cs="Times New Roman"/>
          <w:color w:val="000000" w:themeColor="text1"/>
          <w:kern w:val="0"/>
          <w:sz w:val="24"/>
          <w:szCs w:val="28"/>
          <w14:textFill>
            <w14:solidFill>
              <w14:schemeClr w14:val="tx1"/>
            </w14:solidFill>
          </w14:textFill>
        </w:rPr>
        <w:t>主题班会和“绿书签”行动</w:t>
      </w:r>
      <w:r>
        <w:rPr>
          <w:rFonts w:hint="eastAsia" w:ascii="Times New Roman" w:hAnsi="Times New Roman" w:cs="Times New Roman"/>
          <w:color w:val="000000" w:themeColor="text1"/>
          <w:kern w:val="0"/>
          <w:sz w:val="24"/>
          <w:szCs w:val="28"/>
          <w:lang w:eastAsia="zh-CN"/>
          <w14:textFill>
            <w14:solidFill>
              <w14:schemeClr w14:val="tx1"/>
            </w14:solidFill>
          </w14:textFill>
        </w:rPr>
        <w:t>、</w:t>
      </w:r>
      <w:r>
        <w:rPr>
          <w:rFonts w:hint="eastAsia" w:ascii="Times New Roman" w:hAnsi="Times New Roman" w:cs="Times New Roman"/>
          <w:color w:val="000000" w:themeColor="text1"/>
          <w:kern w:val="0"/>
          <w:sz w:val="24"/>
          <w:szCs w:val="28"/>
          <w14:textFill>
            <w14:solidFill>
              <w14:schemeClr w14:val="tx1"/>
            </w14:solidFill>
          </w14:textFill>
        </w:rPr>
        <w:t>红色故事分享会、重温习近平总书记寄语、唱红歌、青年大学习、柴院青听等活动重点对学生进行爱国主义教育、文明礼貌教育、行为规范教育、学风教育、心理健康教育、安全教育</w:t>
      </w:r>
      <w:r>
        <w:rPr>
          <w:rFonts w:hint="eastAsia" w:ascii="Times New Roman" w:hAnsi="Times New Roman" w:cs="Times New Roman"/>
          <w:color w:val="000000" w:themeColor="text1"/>
          <w:kern w:val="0"/>
          <w:sz w:val="24"/>
          <w:szCs w:val="28"/>
          <w:lang w:eastAsia="zh-CN"/>
          <w14:textFill>
            <w14:solidFill>
              <w14:schemeClr w14:val="tx1"/>
            </w14:solidFill>
          </w14:textFill>
        </w:rPr>
        <w:t>、</w:t>
      </w:r>
      <w:r>
        <w:rPr>
          <w:rFonts w:hint="eastAsia" w:ascii="Times New Roman" w:hAnsi="Times New Roman" w:cs="Times New Roman"/>
          <w:color w:val="000000" w:themeColor="text1"/>
          <w:kern w:val="0"/>
          <w:sz w:val="24"/>
          <w:szCs w:val="28"/>
          <w:lang w:val="en-US" w:eastAsia="zh-CN"/>
          <w14:textFill>
            <w14:solidFill>
              <w14:schemeClr w14:val="tx1"/>
            </w14:solidFill>
          </w14:textFill>
        </w:rPr>
        <w:t>“5.25”心理健康活动月等活动，</w:t>
      </w:r>
      <w:r>
        <w:rPr>
          <w:rFonts w:hint="eastAsia" w:ascii="Times New Roman" w:hAnsi="Times New Roman" w:cs="Times New Roman"/>
          <w:color w:val="000000" w:themeColor="text1"/>
          <w:kern w:val="0"/>
          <w:sz w:val="24"/>
          <w:szCs w:val="28"/>
          <w14:textFill>
            <w14:solidFill>
              <w14:schemeClr w14:val="tx1"/>
            </w14:solidFill>
          </w14:textFill>
        </w:rPr>
        <w:t>评选出心灵导航社团优秀社团干部8人、优秀心灵导航员5人、校园心理摄影大赛评奖3人、优秀手抄报获奖班级6个以及校园心理健康操比赛8个优秀个人奖项。学校德育教材匹配使用国家规范化教材，设立了心理咨询室，学生热爱生活，积极向上，整体思想素质良好。</w:t>
      </w:r>
      <w:bookmarkEnd w:id="44"/>
      <w:bookmarkEnd w:id="45"/>
      <w:bookmarkEnd w:id="46"/>
    </w:p>
    <w:p>
      <w:pPr>
        <w:pStyle w:val="34"/>
        <w:ind w:firstLine="562"/>
        <w:rPr>
          <w:rFonts w:ascii="Times New Roman" w:hAnsi="Times New Roman" w:cs="Times New Roman"/>
          <w:b/>
        </w:rPr>
      </w:pPr>
      <w:r>
        <w:rPr>
          <w:rFonts w:ascii="Times New Roman" w:hAnsi="Times New Roman" w:cs="Times New Roman"/>
          <w:b/>
        </w:rPr>
        <w:t>2.学生基本素质评价</w:t>
      </w:r>
    </w:p>
    <w:p>
      <w:pPr>
        <w:pStyle w:val="34"/>
        <w:spacing w:line="300" w:lineRule="auto"/>
        <w:ind w:firstLine="480"/>
        <w:rPr>
          <w:rFonts w:ascii="Times New Roman" w:hAnsi="Times New Roman" w:cs="Times New Roman"/>
          <w:sz w:val="24"/>
          <w:szCs w:val="28"/>
          <w:highlight w:val="none"/>
        </w:rPr>
      </w:pPr>
      <w:r>
        <w:rPr>
          <w:rFonts w:hint="eastAsia" w:ascii="Times New Roman" w:hAnsi="Times New Roman" w:cs="Times New Roman"/>
          <w:sz w:val="24"/>
          <w:szCs w:val="28"/>
          <w:highlight w:val="none"/>
        </w:rPr>
        <w:t>本学年，学生文化课合格率</w:t>
      </w:r>
      <w:r>
        <w:rPr>
          <w:rFonts w:hint="default" w:ascii="Times New Roman" w:hAnsi="Times New Roman" w:cs="Times New Roman"/>
          <w:sz w:val="24"/>
          <w:szCs w:val="28"/>
          <w:highlight w:val="none"/>
        </w:rPr>
        <w:t>99</w:t>
      </w:r>
      <w:r>
        <w:rPr>
          <w:rFonts w:hint="eastAsia" w:ascii="Times New Roman" w:hAnsi="Times New Roman" w:cs="Times New Roman"/>
          <w:sz w:val="24"/>
          <w:szCs w:val="28"/>
          <w:highlight w:val="none"/>
        </w:rPr>
        <w:t>%，体质测评合格率</w:t>
      </w:r>
      <w:r>
        <w:rPr>
          <w:rFonts w:hint="eastAsia" w:ascii="Times New Roman" w:hAnsi="Times New Roman" w:cs="Times New Roman"/>
          <w:sz w:val="24"/>
          <w:szCs w:val="28"/>
          <w:highlight w:val="none"/>
          <w:lang w:val="en-US" w:eastAsia="zh-CN"/>
        </w:rPr>
        <w:t>91</w:t>
      </w:r>
      <w:r>
        <w:rPr>
          <w:rFonts w:hint="eastAsia" w:ascii="Times New Roman" w:hAnsi="Times New Roman" w:cs="Times New Roman"/>
          <w:sz w:val="24"/>
          <w:szCs w:val="28"/>
          <w:highlight w:val="none"/>
        </w:rPr>
        <w:t>%，专业技能合格率9</w:t>
      </w:r>
      <w:r>
        <w:rPr>
          <w:rFonts w:hint="eastAsia" w:ascii="Times New Roman" w:hAnsi="Times New Roman" w:cs="Times New Roman"/>
          <w:sz w:val="24"/>
          <w:szCs w:val="28"/>
          <w:highlight w:val="none"/>
          <w:lang w:val="en-US" w:eastAsia="zh-CN"/>
        </w:rPr>
        <w:t>9</w:t>
      </w:r>
      <w:r>
        <w:rPr>
          <w:rFonts w:hint="eastAsia" w:ascii="Times New Roman" w:hAnsi="Times New Roman" w:cs="Times New Roman"/>
          <w:sz w:val="24"/>
          <w:szCs w:val="28"/>
          <w:highlight w:val="none"/>
        </w:rPr>
        <w:t>%，毕业率</w:t>
      </w:r>
      <w:r>
        <w:rPr>
          <w:rFonts w:hint="default" w:ascii="Times New Roman" w:hAnsi="Times New Roman" w:cs="Times New Roman"/>
          <w:sz w:val="24"/>
          <w:szCs w:val="28"/>
          <w:highlight w:val="none"/>
        </w:rPr>
        <w:t>81</w:t>
      </w:r>
      <w:r>
        <w:rPr>
          <w:rFonts w:hint="eastAsia" w:ascii="Times New Roman" w:hAnsi="Times New Roman" w:cs="Times New Roman"/>
          <w:sz w:val="24"/>
          <w:szCs w:val="28"/>
          <w:highlight w:val="none"/>
        </w:rPr>
        <w:t>%；双证书获取率</w:t>
      </w:r>
      <w:r>
        <w:rPr>
          <w:rFonts w:hint="default" w:ascii="Times New Roman" w:hAnsi="Times New Roman" w:cs="Times New Roman"/>
          <w:sz w:val="24"/>
          <w:szCs w:val="28"/>
          <w:highlight w:val="none"/>
        </w:rPr>
        <w:t>22</w:t>
      </w:r>
      <w:r>
        <w:rPr>
          <w:rFonts w:hint="eastAsia" w:ascii="Times New Roman" w:hAnsi="Times New Roman" w:cs="Times New Roman"/>
          <w:sz w:val="24"/>
          <w:szCs w:val="28"/>
          <w:highlight w:val="none"/>
        </w:rPr>
        <w:t>%。</w:t>
      </w:r>
      <w:r>
        <w:rPr>
          <w:rFonts w:ascii="Times New Roman" w:hAnsi="Times New Roman" w:cs="Times New Roman"/>
          <w:sz w:val="24"/>
          <w:szCs w:val="28"/>
          <w:highlight w:val="none"/>
        </w:rPr>
        <w:t>学生基本素质评价见表2-1。</w:t>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表2-1  学生基本素质评价</w:t>
      </w:r>
    </w:p>
    <w:tbl>
      <w:tblPr>
        <w:tblStyle w:val="17"/>
        <w:tblW w:w="8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6"/>
        <w:gridCol w:w="1453"/>
        <w:gridCol w:w="1368"/>
        <w:gridCol w:w="1522"/>
        <w:gridCol w:w="1515"/>
        <w:gridCol w:w="11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blHeader/>
          <w:jc w:val="center"/>
        </w:trPr>
        <w:tc>
          <w:tcPr>
            <w:tcW w:w="1334" w:type="dxa"/>
            <w:shd w:val="clear" w:color="auto" w:fill="C6D9F0" w:themeFill="text2" w:themeFillTint="33"/>
            <w:vAlign w:val="center"/>
          </w:tcPr>
          <w:p>
            <w:pPr>
              <w:jc w:val="center"/>
              <w:rPr>
                <w:rFonts w:ascii="Times New Roman" w:hAnsi="Times New Roman"/>
                <w:b/>
                <w:kern w:val="0"/>
                <w:szCs w:val="21"/>
              </w:rPr>
            </w:pPr>
            <w:r>
              <w:rPr>
                <w:rFonts w:ascii="Times New Roman" w:hAnsi="Times New Roman"/>
                <w:b/>
                <w:kern w:val="0"/>
                <w:szCs w:val="21"/>
              </w:rPr>
              <w:t>学年</w:t>
            </w:r>
          </w:p>
        </w:tc>
        <w:tc>
          <w:tcPr>
            <w:tcW w:w="1496" w:type="dxa"/>
            <w:shd w:val="clear" w:color="auto" w:fill="C6D9F0" w:themeFill="text2" w:themeFillTint="33"/>
            <w:vAlign w:val="center"/>
          </w:tcPr>
          <w:p>
            <w:pPr>
              <w:jc w:val="center"/>
              <w:rPr>
                <w:rFonts w:ascii="Times New Roman" w:hAnsi="Times New Roman"/>
                <w:b/>
                <w:kern w:val="0"/>
                <w:szCs w:val="21"/>
              </w:rPr>
            </w:pPr>
            <w:r>
              <w:rPr>
                <w:rFonts w:ascii="Times New Roman" w:hAnsi="Times New Roman"/>
                <w:b/>
                <w:kern w:val="0"/>
                <w:szCs w:val="21"/>
              </w:rPr>
              <w:t>文化课合格率（%）</w:t>
            </w:r>
          </w:p>
        </w:tc>
        <w:tc>
          <w:tcPr>
            <w:tcW w:w="1408" w:type="dxa"/>
            <w:shd w:val="clear" w:color="auto" w:fill="C6D9F0" w:themeFill="text2" w:themeFillTint="33"/>
            <w:vAlign w:val="center"/>
          </w:tcPr>
          <w:p>
            <w:pPr>
              <w:jc w:val="center"/>
              <w:rPr>
                <w:rFonts w:ascii="Times New Roman" w:hAnsi="Times New Roman"/>
                <w:b/>
                <w:kern w:val="0"/>
                <w:szCs w:val="21"/>
              </w:rPr>
            </w:pPr>
            <w:r>
              <w:rPr>
                <w:rFonts w:ascii="Times New Roman" w:hAnsi="Times New Roman"/>
                <w:b/>
                <w:kern w:val="0"/>
                <w:szCs w:val="21"/>
              </w:rPr>
              <w:t>体质测评合格率（%）</w:t>
            </w:r>
          </w:p>
        </w:tc>
        <w:tc>
          <w:tcPr>
            <w:tcW w:w="1568" w:type="dxa"/>
            <w:shd w:val="clear" w:color="auto" w:fill="C6D9F0" w:themeFill="text2" w:themeFillTint="33"/>
            <w:vAlign w:val="center"/>
          </w:tcPr>
          <w:p>
            <w:pPr>
              <w:jc w:val="center"/>
              <w:rPr>
                <w:rFonts w:ascii="Times New Roman" w:hAnsi="Times New Roman"/>
                <w:b/>
                <w:kern w:val="0"/>
                <w:szCs w:val="21"/>
              </w:rPr>
            </w:pPr>
            <w:r>
              <w:rPr>
                <w:rFonts w:ascii="Times New Roman" w:hAnsi="Times New Roman"/>
                <w:b/>
                <w:kern w:val="0"/>
                <w:szCs w:val="21"/>
              </w:rPr>
              <w:t>专业技能合格率</w:t>
            </w:r>
            <w:r>
              <w:rPr>
                <w:rFonts w:ascii="Times New Roman" w:hAnsi="Times New Roman"/>
                <w:b/>
                <w:kern w:val="0"/>
                <w:szCs w:val="21"/>
                <w:vertAlign w:val="superscript"/>
              </w:rPr>
              <w:footnoteReference w:id="11"/>
            </w:r>
            <w:r>
              <w:rPr>
                <w:rFonts w:ascii="Times New Roman" w:hAnsi="Times New Roman"/>
                <w:b/>
                <w:kern w:val="0"/>
                <w:szCs w:val="21"/>
              </w:rPr>
              <w:t>（%）</w:t>
            </w:r>
          </w:p>
        </w:tc>
        <w:tc>
          <w:tcPr>
            <w:tcW w:w="1560" w:type="dxa"/>
            <w:shd w:val="clear" w:color="auto" w:fill="C6D9F0" w:themeFill="text2" w:themeFillTint="33"/>
            <w:vAlign w:val="center"/>
          </w:tcPr>
          <w:p>
            <w:pPr>
              <w:jc w:val="center"/>
              <w:rPr>
                <w:rFonts w:ascii="Times New Roman" w:hAnsi="Times New Roman"/>
                <w:b/>
                <w:kern w:val="0"/>
                <w:szCs w:val="21"/>
              </w:rPr>
            </w:pPr>
            <w:r>
              <w:rPr>
                <w:rFonts w:ascii="Times New Roman" w:hAnsi="Times New Roman"/>
                <w:b/>
                <w:kern w:val="0"/>
                <w:szCs w:val="21"/>
              </w:rPr>
              <w:t>双证书获取率</w:t>
            </w:r>
            <w:r>
              <w:rPr>
                <w:rFonts w:ascii="Times New Roman" w:hAnsi="Times New Roman"/>
                <w:b/>
                <w:kern w:val="0"/>
                <w:szCs w:val="21"/>
                <w:vertAlign w:val="superscript"/>
              </w:rPr>
              <w:footnoteReference w:id="12"/>
            </w:r>
            <w:r>
              <w:rPr>
                <w:rFonts w:ascii="Times New Roman" w:hAnsi="Times New Roman"/>
                <w:b/>
                <w:kern w:val="0"/>
                <w:szCs w:val="21"/>
              </w:rPr>
              <w:t>（%）</w:t>
            </w:r>
          </w:p>
        </w:tc>
        <w:tc>
          <w:tcPr>
            <w:tcW w:w="1156" w:type="dxa"/>
            <w:shd w:val="clear" w:color="auto" w:fill="C6D9F0" w:themeFill="text2" w:themeFillTint="33"/>
            <w:vAlign w:val="center"/>
          </w:tcPr>
          <w:p>
            <w:pPr>
              <w:jc w:val="center"/>
              <w:rPr>
                <w:rFonts w:ascii="Times New Roman" w:hAnsi="Times New Roman"/>
                <w:b/>
                <w:kern w:val="0"/>
                <w:szCs w:val="21"/>
              </w:rPr>
            </w:pPr>
            <w:r>
              <w:rPr>
                <w:rFonts w:ascii="Times New Roman" w:hAnsi="Times New Roman"/>
                <w:b/>
                <w:kern w:val="0"/>
                <w:szCs w:val="21"/>
              </w:rPr>
              <w:t>毕业率</w:t>
            </w:r>
            <w:r>
              <w:rPr>
                <w:rFonts w:ascii="Times New Roman" w:hAnsi="Times New Roman"/>
                <w:b/>
                <w:kern w:val="0"/>
                <w:szCs w:val="21"/>
                <w:vertAlign w:val="superscript"/>
              </w:rPr>
              <w:footnoteReference w:id="13"/>
            </w:r>
            <w:r>
              <w:rPr>
                <w:rFonts w:ascii="Times New Roman" w:hAnsi="Times New Roman"/>
                <w:b/>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4" w:type="dxa"/>
            <w:shd w:val="clear" w:color="auto" w:fill="auto"/>
            <w:vAlign w:val="center"/>
          </w:tcPr>
          <w:p>
            <w:pPr>
              <w:jc w:val="center"/>
              <w:rPr>
                <w:rFonts w:ascii="Times New Roman" w:hAnsi="Times New Roman"/>
                <w:kern w:val="0"/>
                <w:szCs w:val="21"/>
              </w:rPr>
            </w:pPr>
            <w:r>
              <w:rPr>
                <w:rFonts w:ascii="Times New Roman" w:hAnsi="Times New Roman"/>
                <w:kern w:val="0"/>
                <w:szCs w:val="21"/>
              </w:rPr>
              <w:t>201</w:t>
            </w:r>
            <w:r>
              <w:rPr>
                <w:rFonts w:hint="eastAsia" w:ascii="Times New Roman" w:hAnsi="Times New Roman"/>
                <w:kern w:val="0"/>
                <w:szCs w:val="21"/>
              </w:rPr>
              <w:t>9</w:t>
            </w:r>
            <w:r>
              <w:rPr>
                <w:rFonts w:ascii="Times New Roman" w:hAnsi="Times New Roman"/>
                <w:kern w:val="0"/>
                <w:szCs w:val="21"/>
              </w:rPr>
              <w:t>-20</w:t>
            </w:r>
            <w:r>
              <w:rPr>
                <w:rFonts w:hint="eastAsia" w:ascii="Times New Roman" w:hAnsi="Times New Roman"/>
                <w:kern w:val="0"/>
                <w:szCs w:val="21"/>
              </w:rPr>
              <w:t>20</w:t>
            </w:r>
          </w:p>
        </w:tc>
        <w:tc>
          <w:tcPr>
            <w:tcW w:w="1496" w:type="dxa"/>
            <w:shd w:val="clear" w:color="auto" w:fill="auto"/>
            <w:vAlign w:val="center"/>
          </w:tcPr>
          <w:p>
            <w:pPr>
              <w:jc w:val="center"/>
              <w:rPr>
                <w:rFonts w:ascii="Times New Roman" w:hAnsi="Times New Roman"/>
                <w:kern w:val="0"/>
                <w:szCs w:val="21"/>
              </w:rPr>
            </w:pPr>
            <w:r>
              <w:rPr>
                <w:rFonts w:hint="eastAsia" w:ascii="Times New Roman" w:hAnsi="Times New Roman"/>
                <w:color w:val="000000" w:themeColor="text1"/>
                <w:kern w:val="0"/>
                <w:szCs w:val="21"/>
                <w14:textFill>
                  <w14:solidFill>
                    <w14:schemeClr w14:val="tx1"/>
                  </w14:solidFill>
                </w14:textFill>
              </w:rPr>
              <w:t>100</w:t>
            </w:r>
          </w:p>
        </w:tc>
        <w:tc>
          <w:tcPr>
            <w:tcW w:w="1408" w:type="dxa"/>
            <w:shd w:val="clear" w:color="auto" w:fill="auto"/>
            <w:vAlign w:val="center"/>
          </w:tcPr>
          <w:p>
            <w:pPr>
              <w:jc w:val="center"/>
              <w:rPr>
                <w:rFonts w:ascii="Times New Roman" w:hAnsi="Times New Roman"/>
                <w:kern w:val="0"/>
                <w:szCs w:val="21"/>
              </w:rPr>
            </w:pPr>
            <w:r>
              <w:rPr>
                <w:rFonts w:hint="default" w:ascii="Times New Roman" w:hAnsi="Times New Roman"/>
                <w:color w:val="000000" w:themeColor="text1"/>
                <w:kern w:val="0"/>
                <w:szCs w:val="21"/>
                <w:lang w:val="en-US"/>
                <w14:textFill>
                  <w14:solidFill>
                    <w14:schemeClr w14:val="tx1"/>
                  </w14:solidFill>
                </w14:textFill>
              </w:rPr>
              <w:t>95</w:t>
            </w:r>
          </w:p>
        </w:tc>
        <w:tc>
          <w:tcPr>
            <w:tcW w:w="1568" w:type="dxa"/>
            <w:shd w:val="clear" w:color="auto" w:fill="auto"/>
            <w:vAlign w:val="center"/>
          </w:tcPr>
          <w:p>
            <w:pPr>
              <w:jc w:val="center"/>
              <w:rPr>
                <w:rFonts w:ascii="Times New Roman" w:hAnsi="Times New Roman"/>
                <w:kern w:val="0"/>
                <w:szCs w:val="21"/>
              </w:rPr>
            </w:pPr>
            <w:r>
              <w:rPr>
                <w:rFonts w:hint="default" w:ascii="Times New Roman" w:hAnsi="Times New Roman"/>
                <w:color w:val="000000" w:themeColor="text1"/>
                <w:kern w:val="0"/>
                <w:szCs w:val="21"/>
                <w:lang w:val="en-US"/>
                <w14:textFill>
                  <w14:solidFill>
                    <w14:schemeClr w14:val="tx1"/>
                  </w14:solidFill>
                </w14:textFill>
              </w:rPr>
              <w:t>91</w:t>
            </w:r>
          </w:p>
        </w:tc>
        <w:tc>
          <w:tcPr>
            <w:tcW w:w="1560" w:type="dxa"/>
            <w:shd w:val="clear" w:color="auto" w:fill="auto"/>
            <w:vAlign w:val="center"/>
          </w:tcPr>
          <w:p>
            <w:pPr>
              <w:jc w:val="center"/>
              <w:rPr>
                <w:rFonts w:ascii="Times New Roman" w:hAnsi="Times New Roman"/>
                <w:kern w:val="0"/>
                <w:szCs w:val="21"/>
              </w:rPr>
            </w:pPr>
            <w:r>
              <w:rPr>
                <w:rFonts w:hint="eastAsia" w:ascii="Times New Roman" w:hAnsi="Times New Roman"/>
                <w:color w:val="000000" w:themeColor="text1"/>
                <w:kern w:val="0"/>
                <w:szCs w:val="21"/>
                <w14:textFill>
                  <w14:solidFill>
                    <w14:schemeClr w14:val="tx1"/>
                  </w14:solidFill>
                </w14:textFill>
              </w:rPr>
              <w:t>76</w:t>
            </w:r>
          </w:p>
        </w:tc>
        <w:tc>
          <w:tcPr>
            <w:tcW w:w="1156" w:type="dxa"/>
            <w:shd w:val="clear" w:color="auto" w:fill="auto"/>
            <w:vAlign w:val="center"/>
          </w:tcPr>
          <w:p>
            <w:pPr>
              <w:tabs>
                <w:tab w:val="left" w:pos="395"/>
              </w:tabs>
              <w:jc w:val="center"/>
              <w:rPr>
                <w:rFonts w:ascii="Times New Roman" w:hAnsi="Times New Roman"/>
                <w:kern w:val="0"/>
                <w:szCs w:val="21"/>
              </w:rPr>
            </w:pPr>
            <w:r>
              <w:rPr>
                <w:rFonts w:hint="default" w:ascii="Times New Roman" w:hAnsi="Times New Roman"/>
                <w:color w:val="000000" w:themeColor="text1"/>
                <w:kern w:val="0"/>
                <w:szCs w:val="21"/>
                <w14:textFill>
                  <w14:solidFill>
                    <w14:schemeClr w14:val="tx1"/>
                  </w14:solidFill>
                </w14:textFill>
              </w:rPr>
              <w:t>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3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kern w:val="0"/>
                <w:szCs w:val="21"/>
              </w:rPr>
            </w:pPr>
            <w:r>
              <w:rPr>
                <w:rFonts w:ascii="Times New Roman" w:hAnsi="Times New Roman"/>
                <w:kern w:val="0"/>
                <w:szCs w:val="21"/>
              </w:rPr>
              <w:t>2020-2021</w:t>
            </w:r>
          </w:p>
        </w:tc>
        <w:tc>
          <w:tcPr>
            <w:tcW w:w="1496"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olor w:val="000000" w:themeColor="text1"/>
                <w:kern w:val="0"/>
                <w:szCs w:val="21"/>
                <w14:textFill>
                  <w14:solidFill>
                    <w14:schemeClr w14:val="tx1"/>
                  </w14:solidFill>
                </w14:textFill>
              </w:rPr>
            </w:pPr>
            <w:r>
              <w:rPr>
                <w:rFonts w:hint="default" w:ascii="Times New Roman" w:hAnsi="Times New Roman"/>
                <w:color w:val="000000" w:themeColor="text1"/>
                <w:kern w:val="0"/>
                <w:szCs w:val="21"/>
                <w14:textFill>
                  <w14:solidFill>
                    <w14:schemeClr w14:val="tx1"/>
                  </w14:solidFill>
                </w14:textFill>
              </w:rPr>
              <w:t>99</w:t>
            </w:r>
          </w:p>
        </w:tc>
        <w:tc>
          <w:tcPr>
            <w:tcW w:w="140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olor w:val="000000" w:themeColor="text1"/>
                <w:kern w:val="0"/>
                <w:szCs w:val="21"/>
                <w:lang w:val="en-US" w:eastAsia="zh-CN"/>
                <w14:textFill>
                  <w14:solidFill>
                    <w14:schemeClr w14:val="tx1"/>
                  </w14:solidFill>
                </w14:textFill>
              </w:rPr>
            </w:pPr>
            <w:r>
              <w:rPr>
                <w:rFonts w:hint="default" w:ascii="Times New Roman" w:hAnsi="Times New Roman"/>
                <w:color w:val="000000" w:themeColor="text1"/>
                <w:kern w:val="0"/>
                <w:szCs w:val="21"/>
                <w14:textFill>
                  <w14:solidFill>
                    <w14:schemeClr w14:val="tx1"/>
                  </w14:solidFill>
                </w14:textFill>
              </w:rPr>
              <w:t>91</w:t>
            </w:r>
          </w:p>
        </w:tc>
        <w:tc>
          <w:tcPr>
            <w:tcW w:w="1568"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color w:val="000000" w:themeColor="text1"/>
                <w:kern w:val="0"/>
                <w:szCs w:val="21"/>
                <w:lang w:val="en-US" w:eastAsia="zh-CN"/>
                <w14:textFill>
                  <w14:solidFill>
                    <w14:schemeClr w14:val="tx1"/>
                  </w14:solidFill>
                </w14:textFill>
              </w:rPr>
            </w:pPr>
            <w:r>
              <w:rPr>
                <w:rFonts w:hint="default" w:ascii="Times New Roman" w:hAnsi="Times New Roman"/>
                <w:color w:val="000000" w:themeColor="text1"/>
                <w:kern w:val="0"/>
                <w:szCs w:val="21"/>
                <w14:textFill>
                  <w14:solidFill>
                    <w14:schemeClr w14:val="tx1"/>
                  </w14:solidFill>
                </w14:textFill>
              </w:rPr>
              <w:t>99</w:t>
            </w:r>
          </w:p>
        </w:tc>
        <w:tc>
          <w:tcPr>
            <w:tcW w:w="156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color w:val="000000" w:themeColor="text1"/>
                <w:kern w:val="0"/>
                <w:szCs w:val="21"/>
                <w:highlight w:val="none"/>
                <w14:textFill>
                  <w14:solidFill>
                    <w14:schemeClr w14:val="tx1"/>
                  </w14:solidFill>
                </w14:textFill>
              </w:rPr>
            </w:pPr>
            <w:r>
              <w:rPr>
                <w:rFonts w:hint="default" w:ascii="Times New Roman" w:hAnsi="Times New Roman"/>
                <w:color w:val="000000" w:themeColor="text1"/>
                <w:kern w:val="0"/>
                <w:szCs w:val="21"/>
                <w:highlight w:val="none"/>
                <w14:textFill>
                  <w14:solidFill>
                    <w14:schemeClr w14:val="tx1"/>
                  </w14:solidFill>
                </w14:textFill>
              </w:rPr>
              <w:t>22</w:t>
            </w:r>
          </w:p>
        </w:tc>
        <w:tc>
          <w:tcPr>
            <w:tcW w:w="1156" w:type="dxa"/>
            <w:tcBorders>
              <w:top w:val="single" w:color="auto" w:sz="4" w:space="0"/>
              <w:left w:val="single" w:color="auto" w:sz="4" w:space="0"/>
              <w:bottom w:val="single" w:color="auto" w:sz="4" w:space="0"/>
              <w:right w:val="single" w:color="auto" w:sz="4" w:space="0"/>
            </w:tcBorders>
            <w:shd w:val="clear" w:color="auto" w:fill="auto"/>
            <w:vAlign w:val="center"/>
          </w:tcPr>
          <w:p>
            <w:pPr>
              <w:tabs>
                <w:tab w:val="left" w:pos="395"/>
              </w:tabs>
              <w:jc w:val="center"/>
              <w:rPr>
                <w:rFonts w:ascii="Times New Roman" w:hAnsi="Times New Roman"/>
                <w:color w:val="000000" w:themeColor="text1"/>
                <w:kern w:val="0"/>
                <w:szCs w:val="21"/>
                <w:highlight w:val="none"/>
                <w14:textFill>
                  <w14:solidFill>
                    <w14:schemeClr w14:val="tx1"/>
                  </w14:solidFill>
                </w14:textFill>
              </w:rPr>
            </w:pPr>
            <w:r>
              <w:rPr>
                <w:rFonts w:hint="default" w:ascii="Times New Roman" w:hAnsi="Times New Roman"/>
                <w:color w:val="000000" w:themeColor="text1"/>
                <w:kern w:val="0"/>
                <w:szCs w:val="21"/>
                <w:highlight w:val="none"/>
                <w14:textFill>
                  <w14:solidFill>
                    <w14:schemeClr w14:val="tx1"/>
                  </w14:solidFill>
                </w14:textFill>
              </w:rPr>
              <w:t>81</w:t>
            </w:r>
          </w:p>
        </w:tc>
      </w:tr>
    </w:tbl>
    <w:p>
      <w:pPr>
        <w:pStyle w:val="34"/>
        <w:ind w:firstLine="562"/>
        <w:rPr>
          <w:rFonts w:ascii="Times New Roman" w:hAnsi="Times New Roman" w:cs="Times New Roman"/>
          <w:b/>
        </w:rPr>
      </w:pPr>
      <w:r>
        <w:rPr>
          <w:rFonts w:ascii="Times New Roman" w:hAnsi="Times New Roman" w:cs="Times New Roman"/>
          <w:b/>
        </w:rPr>
        <w:t>3.学生参加技能竞赛</w:t>
      </w:r>
    </w:p>
    <w:p>
      <w:pPr>
        <w:pStyle w:val="28"/>
        <w:spacing w:line="300" w:lineRule="auto"/>
        <w:ind w:firstLine="480" w:firstLineChars="200"/>
        <w:rPr>
          <w:rFonts w:ascii="Times New Roman" w:hAnsi="Times New Roman" w:cs="Times New Roman"/>
          <w:szCs w:val="28"/>
          <w:highlight w:val="yellow"/>
        </w:rPr>
      </w:pPr>
      <w:r>
        <w:rPr>
          <w:rFonts w:hint="eastAsia" w:ascii="Times New Roman" w:hAnsi="Times New Roman"/>
          <w:szCs w:val="28"/>
          <w:highlight w:val="none"/>
        </w:rPr>
        <w:t>学校积极推进以赛促教、以赛促学活动，</w:t>
      </w:r>
      <w:r>
        <w:rPr>
          <w:rFonts w:hint="eastAsia" w:ascii="Times New Roman" w:hAnsi="Times New Roman" w:cs="Times New Roman"/>
          <w:szCs w:val="28"/>
          <w:highlight w:val="none"/>
        </w:rPr>
        <w:t>组织学生参加各级职业技能大赛。本</w:t>
      </w:r>
      <w:r>
        <w:rPr>
          <w:rFonts w:ascii="Times New Roman" w:hAnsi="Times New Roman" w:cs="Times New Roman"/>
          <w:szCs w:val="28"/>
          <w:highlight w:val="none"/>
        </w:rPr>
        <w:t>学年，</w:t>
      </w:r>
      <w:r>
        <w:rPr>
          <w:rFonts w:hint="eastAsia" w:ascii="Times New Roman" w:hAnsi="Times New Roman" w:cs="Times New Roman"/>
          <w:szCs w:val="28"/>
          <w:highlight w:val="none"/>
        </w:rPr>
        <w:t>组织学生参加了国家级、省级技能大赛，并承办了中职组化工生产技术、和网页设计与制作赛项。在</w:t>
      </w:r>
      <w:r>
        <w:rPr>
          <w:rFonts w:hint="eastAsia" w:ascii="Times New Roman" w:hAnsi="Times New Roman" w:cs="Times New Roman"/>
          <w:szCs w:val="28"/>
          <w:highlight w:val="none"/>
          <w:lang w:val="en-US" w:eastAsia="zh-CN"/>
        </w:rPr>
        <w:t>各</w:t>
      </w:r>
      <w:r>
        <w:rPr>
          <w:rFonts w:hint="eastAsia" w:ascii="Times New Roman" w:hAnsi="Times New Roman" w:cs="Times New Roman"/>
          <w:szCs w:val="28"/>
          <w:highlight w:val="none"/>
        </w:rPr>
        <w:t>级职业院校大赛中，学校104名同学参加了11大类34个赛项，获得了个人一等奖6个、团体一等奖1个，个人二等奖14个、团体二等奖1个。</w:t>
      </w:r>
    </w:p>
    <w:p>
      <w:pPr>
        <w:pStyle w:val="5"/>
        <w:rPr>
          <w:rFonts w:ascii="Times New Roman" w:hAnsi="Times New Roman"/>
          <w:color w:val="000000" w:themeColor="text1"/>
          <w14:textFill>
            <w14:solidFill>
              <w14:schemeClr w14:val="tx1"/>
            </w14:solidFill>
          </w14:textFill>
        </w:rPr>
      </w:pPr>
      <w:bookmarkStart w:id="47" w:name="_Toc61256675"/>
      <w:bookmarkStart w:id="48" w:name="_Toc1911"/>
      <w:r>
        <w:rPr>
          <w:rFonts w:ascii="Times New Roman" w:hAnsi="Times New Roman"/>
          <w:color w:val="000000" w:themeColor="text1"/>
          <w14:textFill>
            <w14:solidFill>
              <w14:schemeClr w14:val="tx1"/>
            </w14:solidFill>
          </w14:textFill>
        </w:rPr>
        <w:t>（二）在校体验</w:t>
      </w:r>
      <w:bookmarkEnd w:id="47"/>
      <w:bookmarkEnd w:id="48"/>
    </w:p>
    <w:p>
      <w:pPr>
        <w:pStyle w:val="34"/>
        <w:ind w:firstLine="562"/>
        <w:rPr>
          <w:rFonts w:ascii="Times New Roman" w:hAnsi="Times New Roman" w:cs="Times New Roman"/>
          <w:b/>
        </w:rPr>
      </w:pPr>
      <w:r>
        <w:rPr>
          <w:rFonts w:ascii="Times New Roman" w:hAnsi="Times New Roman" w:cs="Times New Roman"/>
          <w:b/>
        </w:rPr>
        <w:t>1.在校体验满意度</w:t>
      </w:r>
    </w:p>
    <w:p>
      <w:pPr>
        <w:pStyle w:val="34"/>
        <w:spacing w:line="300" w:lineRule="auto"/>
        <w:ind w:firstLine="480"/>
        <w:rPr>
          <w:rFonts w:hint="eastAsia" w:ascii="Times New Roman" w:hAnsi="Times New Roman" w:cs="Times New Roman"/>
          <w:color w:val="000000" w:themeColor="text1"/>
          <w:sz w:val="24"/>
          <w:szCs w:val="28"/>
          <w14:textFill>
            <w14:solidFill>
              <w14:schemeClr w14:val="tx1"/>
            </w14:solidFill>
          </w14:textFill>
        </w:rPr>
      </w:pPr>
      <w:r>
        <w:rPr>
          <w:rFonts w:hint="eastAsia" w:ascii="Times New Roman" w:hAnsi="Times New Roman" w:cs="Times New Roman"/>
          <w:sz w:val="24"/>
          <w:szCs w:val="28"/>
        </w:rPr>
        <w:t>202</w:t>
      </w:r>
      <w:r>
        <w:rPr>
          <w:rFonts w:hint="eastAsia" w:ascii="Times New Roman" w:hAnsi="Times New Roman" w:cs="Times New Roman"/>
          <w:sz w:val="24"/>
          <w:szCs w:val="28"/>
          <w:lang w:val="en-US" w:eastAsia="zh-CN"/>
        </w:rPr>
        <w:t>1</w:t>
      </w:r>
      <w:r>
        <w:rPr>
          <w:rFonts w:ascii="Times New Roman" w:hAnsi="Times New Roman" w:cs="Times New Roman"/>
          <w:sz w:val="24"/>
          <w:szCs w:val="28"/>
        </w:rPr>
        <w:t>年</w:t>
      </w:r>
      <w:r>
        <w:rPr>
          <w:rFonts w:hint="eastAsia" w:ascii="Times New Roman" w:hAnsi="Times New Roman" w:cs="Times New Roman"/>
          <w:sz w:val="24"/>
          <w:szCs w:val="28"/>
          <w:lang w:val="en-US" w:eastAsia="zh-CN"/>
        </w:rPr>
        <w:t>11</w:t>
      </w:r>
      <w:r>
        <w:rPr>
          <w:rFonts w:ascii="Times New Roman" w:hAnsi="Times New Roman" w:cs="Times New Roman"/>
          <w:sz w:val="24"/>
          <w:szCs w:val="28"/>
        </w:rPr>
        <w:t>月</w:t>
      </w:r>
      <w:r>
        <w:rPr>
          <w:rFonts w:hint="eastAsia" w:ascii="Times New Roman" w:hAnsi="Times New Roman" w:cs="Times New Roman"/>
          <w:sz w:val="24"/>
          <w:szCs w:val="28"/>
        </w:rPr>
        <w:t>，</w:t>
      </w:r>
      <w:r>
        <w:rPr>
          <w:rFonts w:ascii="Times New Roman" w:hAnsi="Times New Roman" w:cs="Times New Roman"/>
          <w:sz w:val="24"/>
          <w:szCs w:val="28"/>
        </w:rPr>
        <w:t>学校邀请</w:t>
      </w:r>
      <w:r>
        <w:rPr>
          <w:rFonts w:hint="eastAsia" w:ascii="Times New Roman" w:hAnsi="Times New Roman" w:cs="Times New Roman"/>
          <w:sz w:val="24"/>
          <w:szCs w:val="28"/>
        </w:rPr>
        <w:t>第三方评价机构</w:t>
      </w:r>
      <w:r>
        <w:rPr>
          <w:rFonts w:ascii="Times New Roman" w:hAnsi="Times New Roman" w:cs="Times New Roman"/>
          <w:sz w:val="24"/>
          <w:szCs w:val="28"/>
        </w:rPr>
        <w:t>四川兴合田职业教育研究院（以下简称兴合田</w:t>
      </w:r>
      <w:r>
        <w:rPr>
          <w:rFonts w:hint="eastAsia" w:ascii="Times New Roman" w:hAnsi="Times New Roman" w:cs="Times New Roman"/>
          <w:sz w:val="24"/>
          <w:szCs w:val="28"/>
        </w:rPr>
        <w:t>研究院</w:t>
      </w:r>
      <w:r>
        <w:rPr>
          <w:rFonts w:ascii="Times New Roman" w:hAnsi="Times New Roman" w:cs="Times New Roman"/>
          <w:sz w:val="24"/>
          <w:szCs w:val="28"/>
        </w:rPr>
        <w:t>）进行在校生满意度调研，共采集有效问卷</w:t>
      </w:r>
      <w:r>
        <w:rPr>
          <w:rFonts w:hint="eastAsia" w:ascii="Times New Roman" w:hAnsi="Times New Roman" w:cs="Times New Roman"/>
          <w:sz w:val="24"/>
          <w:szCs w:val="28"/>
          <w:lang w:val="en-US" w:eastAsia="zh-CN"/>
        </w:rPr>
        <w:t>208</w:t>
      </w:r>
      <w:r>
        <w:rPr>
          <w:rFonts w:ascii="Times New Roman" w:hAnsi="Times New Roman" w:cs="Times New Roman"/>
          <w:sz w:val="24"/>
          <w:szCs w:val="28"/>
        </w:rPr>
        <w:t>份，其中一年级</w:t>
      </w:r>
      <w:r>
        <w:rPr>
          <w:rFonts w:hint="eastAsia" w:ascii="Times New Roman" w:hAnsi="Times New Roman" w:cs="Times New Roman"/>
          <w:sz w:val="24"/>
          <w:szCs w:val="28"/>
          <w:lang w:val="en-US" w:eastAsia="zh-CN"/>
        </w:rPr>
        <w:t>118</w:t>
      </w:r>
      <w:r>
        <w:rPr>
          <w:rFonts w:ascii="Times New Roman" w:hAnsi="Times New Roman" w:cs="Times New Roman"/>
          <w:sz w:val="24"/>
          <w:szCs w:val="28"/>
        </w:rPr>
        <w:t>份</w:t>
      </w:r>
      <w:r>
        <w:rPr>
          <w:rFonts w:hint="eastAsia" w:ascii="Times New Roman" w:hAnsi="Times New Roman" w:cs="Times New Roman"/>
          <w:sz w:val="24"/>
          <w:szCs w:val="28"/>
        </w:rPr>
        <w:t>、</w:t>
      </w:r>
      <w:r>
        <w:rPr>
          <w:rFonts w:ascii="Times New Roman" w:hAnsi="Times New Roman" w:cs="Times New Roman"/>
          <w:sz w:val="24"/>
          <w:szCs w:val="28"/>
        </w:rPr>
        <w:t>二年级</w:t>
      </w:r>
      <w:r>
        <w:rPr>
          <w:rFonts w:hint="eastAsia" w:ascii="Times New Roman" w:hAnsi="Times New Roman" w:cs="Times New Roman"/>
          <w:sz w:val="24"/>
          <w:szCs w:val="28"/>
          <w:lang w:val="en-US" w:eastAsia="zh-CN"/>
        </w:rPr>
        <w:t>37</w:t>
      </w:r>
      <w:r>
        <w:rPr>
          <w:rFonts w:ascii="Times New Roman" w:hAnsi="Times New Roman" w:cs="Times New Roman"/>
          <w:sz w:val="24"/>
          <w:szCs w:val="28"/>
        </w:rPr>
        <w:t>份</w:t>
      </w:r>
      <w:r>
        <w:rPr>
          <w:rFonts w:hint="eastAsia" w:ascii="Times New Roman" w:hAnsi="Times New Roman" w:cs="Times New Roman"/>
          <w:sz w:val="24"/>
          <w:szCs w:val="28"/>
        </w:rPr>
        <w:t>、</w:t>
      </w:r>
      <w:r>
        <w:rPr>
          <w:rFonts w:ascii="Times New Roman" w:hAnsi="Times New Roman" w:cs="Times New Roman"/>
          <w:sz w:val="24"/>
          <w:szCs w:val="28"/>
        </w:rPr>
        <w:t>三年级</w:t>
      </w:r>
      <w:r>
        <w:rPr>
          <w:rFonts w:hint="eastAsia" w:ascii="Times New Roman" w:hAnsi="Times New Roman" w:cs="Times New Roman"/>
          <w:sz w:val="24"/>
          <w:szCs w:val="28"/>
          <w:lang w:val="en-US" w:eastAsia="zh-CN"/>
        </w:rPr>
        <w:t>53</w:t>
      </w:r>
      <w:r>
        <w:rPr>
          <w:rFonts w:ascii="Times New Roman" w:hAnsi="Times New Roman" w:cs="Times New Roman"/>
          <w:sz w:val="24"/>
          <w:szCs w:val="28"/>
        </w:rPr>
        <w:t>份。在校生满意度调研统计结果见图2-1。</w:t>
      </w:r>
      <w:r>
        <w:rPr>
          <w:rFonts w:hint="eastAsia" w:ascii="Times New Roman" w:hAnsi="Times New Roman" w:cs="Times New Roman"/>
          <w:color w:val="000000" w:themeColor="text1"/>
          <w:sz w:val="24"/>
          <w:szCs w:val="28"/>
          <w14:textFill>
            <w14:solidFill>
              <w14:schemeClr w14:val="tx1"/>
            </w14:solidFill>
          </w14:textFill>
        </w:rPr>
        <w:t>调研结果显示，学生对</w:t>
      </w:r>
      <w:r>
        <w:rPr>
          <w:rFonts w:hint="eastAsia" w:ascii="Times New Roman" w:hAnsi="Times New Roman" w:cs="Times New Roman"/>
          <w:color w:val="000000" w:themeColor="text1"/>
          <w:sz w:val="24"/>
          <w:szCs w:val="28"/>
          <w:lang w:val="en-US" w:eastAsia="zh-CN"/>
          <w14:textFill>
            <w14:solidFill>
              <w14:schemeClr w14:val="tx1"/>
            </w14:solidFill>
          </w14:textFill>
        </w:rPr>
        <w:t>总体满意度、</w:t>
      </w:r>
      <w:r>
        <w:rPr>
          <w:rFonts w:hint="eastAsia" w:ascii="Times New Roman" w:hAnsi="Times New Roman" w:cs="Times New Roman"/>
          <w:color w:val="000000" w:themeColor="text1"/>
          <w:sz w:val="24"/>
          <w:szCs w:val="28"/>
          <w14:textFill>
            <w14:solidFill>
              <w14:schemeClr w14:val="tx1"/>
            </w14:solidFill>
          </w14:textFill>
        </w:rPr>
        <w:t>实习实训、理论学习、专业学习整体满意度均在8</w:t>
      </w:r>
      <w:r>
        <w:rPr>
          <w:rFonts w:ascii="Times New Roman" w:hAnsi="Times New Roman" w:cs="Times New Roman"/>
          <w:color w:val="000000" w:themeColor="text1"/>
          <w:sz w:val="24"/>
          <w:szCs w:val="28"/>
          <w14:textFill>
            <w14:solidFill>
              <w14:schemeClr w14:val="tx1"/>
            </w14:solidFill>
          </w14:textFill>
        </w:rPr>
        <w:t>0</w:t>
      </w:r>
      <w:r>
        <w:rPr>
          <w:rFonts w:hint="eastAsia" w:ascii="Times New Roman" w:hAnsi="Times New Roman" w:cs="Times New Roman"/>
          <w:color w:val="000000" w:themeColor="text1"/>
          <w:sz w:val="24"/>
          <w:szCs w:val="28"/>
          <w14:textFill>
            <w14:solidFill>
              <w14:schemeClr w14:val="tx1"/>
            </w14:solidFill>
          </w14:textFill>
        </w:rPr>
        <w:t>%以上，对就餐环境、饭菜质量和宿舍条件等校园生活的满意度相对较低。</w:t>
      </w:r>
    </w:p>
    <w:p>
      <w:pPr>
        <w:pStyle w:val="34"/>
        <w:spacing w:line="300" w:lineRule="auto"/>
        <w:ind w:left="0" w:leftChars="0" w:firstLine="0" w:firstLineChars="0"/>
        <w:jc w:val="left"/>
        <w:rPr>
          <w:rFonts w:ascii="Times New Roman" w:hAnsi="Times New Roman" w:cs="Times New Roman"/>
          <w:color w:val="FF0000"/>
          <w:szCs w:val="28"/>
        </w:rPr>
      </w:pPr>
      <w:r>
        <w:rPr>
          <w:rFonts w:ascii="Times New Roman" w:hAnsi="Times New Roman" w:cs="Times New Roman"/>
          <w:sz w:val="28"/>
          <w:szCs w:val="28"/>
        </w:rPr>
        <w:drawing>
          <wp:inline distT="0" distB="0" distL="0" distR="0">
            <wp:extent cx="5172075" cy="2557145"/>
            <wp:effectExtent l="0" t="0" r="9525" b="14605"/>
            <wp:docPr id="38" name="图表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图2-1</w:t>
      </w:r>
      <w:r>
        <w:rPr>
          <w:rFonts w:hint="eastAsia" w:ascii="Times New Roman" w:hAnsi="Times New Roman" w:cs="Times New Roman"/>
          <w:b/>
          <w:color w:val="000000" w:themeColor="text1"/>
          <w:kern w:val="2"/>
          <w:sz w:val="21"/>
          <w:szCs w:val="21"/>
          <w14:textFill>
            <w14:solidFill>
              <w14:schemeClr w14:val="tx1"/>
            </w14:solidFill>
          </w14:textFill>
        </w:rPr>
        <w:t xml:space="preserve"> </w:t>
      </w:r>
      <w:r>
        <w:rPr>
          <w:rFonts w:ascii="Times New Roman" w:hAnsi="Times New Roman" w:cs="Times New Roman"/>
          <w:b/>
          <w:color w:val="000000" w:themeColor="text1"/>
          <w:kern w:val="2"/>
          <w:sz w:val="21"/>
          <w:szCs w:val="21"/>
          <w14:textFill>
            <w14:solidFill>
              <w14:schemeClr w14:val="tx1"/>
            </w14:solidFill>
          </w14:textFill>
        </w:rPr>
        <w:t xml:space="preserve"> 在校生满意度体验统计</w:t>
      </w:r>
    </w:p>
    <w:p>
      <w:pPr>
        <w:pStyle w:val="34"/>
        <w:ind w:firstLine="562"/>
        <w:rPr>
          <w:rFonts w:ascii="Times New Roman" w:hAnsi="Times New Roman" w:cs="Times New Roman"/>
          <w:b/>
        </w:rPr>
      </w:pPr>
      <w:r>
        <w:rPr>
          <w:rFonts w:ascii="Times New Roman" w:hAnsi="Times New Roman" w:cs="Times New Roman"/>
          <w:b/>
        </w:rPr>
        <w:t>2.毕业生满意度</w:t>
      </w:r>
    </w:p>
    <w:p>
      <w:pPr>
        <w:pStyle w:val="34"/>
        <w:spacing w:line="300" w:lineRule="auto"/>
        <w:ind w:firstLine="480"/>
        <w:rPr>
          <w:rFonts w:ascii="Times New Roman" w:hAnsi="Times New Roman" w:cs="Times New Roman"/>
          <w:sz w:val="24"/>
          <w:szCs w:val="28"/>
        </w:rPr>
      </w:pPr>
      <w:r>
        <w:rPr>
          <w:rFonts w:hint="eastAsia" w:ascii="Times New Roman" w:hAnsi="Times New Roman" w:cs="Times New Roman"/>
          <w:sz w:val="24"/>
          <w:szCs w:val="28"/>
        </w:rPr>
        <w:t>兴合田研究院对学校</w:t>
      </w:r>
      <w:r>
        <w:rPr>
          <w:rFonts w:hint="eastAsia" w:ascii="Times New Roman" w:hAnsi="Times New Roman" w:cs="Times New Roman"/>
          <w:sz w:val="24"/>
          <w:szCs w:val="28"/>
          <w:lang w:val="en-US" w:eastAsia="zh-CN"/>
        </w:rPr>
        <w:t>2020</w:t>
      </w:r>
      <w:r>
        <w:rPr>
          <w:rFonts w:hint="eastAsia" w:ascii="Times New Roman" w:hAnsi="Times New Roman" w:cs="Times New Roman"/>
          <w:sz w:val="24"/>
          <w:szCs w:val="28"/>
        </w:rPr>
        <w:t>届和20</w:t>
      </w:r>
      <w:r>
        <w:rPr>
          <w:rFonts w:hint="eastAsia" w:ascii="Times New Roman" w:hAnsi="Times New Roman" w:cs="Times New Roman"/>
          <w:sz w:val="24"/>
          <w:szCs w:val="28"/>
          <w:lang w:val="en-US" w:eastAsia="zh-CN"/>
        </w:rPr>
        <w:t>21</w:t>
      </w:r>
      <w:r>
        <w:rPr>
          <w:rFonts w:hint="eastAsia" w:ascii="Times New Roman" w:hAnsi="Times New Roman" w:cs="Times New Roman"/>
          <w:sz w:val="24"/>
          <w:szCs w:val="28"/>
        </w:rPr>
        <w:t>届毕业生进行调研。调研结果见图2-3。从图中可以看出来，20</w:t>
      </w:r>
      <w:r>
        <w:rPr>
          <w:rFonts w:hint="eastAsia" w:ascii="Times New Roman" w:hAnsi="Times New Roman" w:cs="Times New Roman"/>
          <w:sz w:val="24"/>
          <w:szCs w:val="28"/>
          <w:lang w:val="en-US" w:eastAsia="zh-CN"/>
        </w:rPr>
        <w:t>20</w:t>
      </w:r>
      <w:r>
        <w:rPr>
          <w:rFonts w:hint="eastAsia" w:ascii="Times New Roman" w:hAnsi="Times New Roman" w:cs="Times New Roman"/>
          <w:sz w:val="24"/>
          <w:szCs w:val="28"/>
        </w:rPr>
        <w:t>届、202</w:t>
      </w:r>
      <w:r>
        <w:rPr>
          <w:rFonts w:hint="eastAsia" w:ascii="Times New Roman" w:hAnsi="Times New Roman" w:cs="Times New Roman"/>
          <w:sz w:val="24"/>
          <w:szCs w:val="28"/>
          <w:lang w:val="en-US" w:eastAsia="zh-CN"/>
        </w:rPr>
        <w:t>1</w:t>
      </w:r>
      <w:r>
        <w:rPr>
          <w:rFonts w:hint="eastAsia" w:ascii="Times New Roman" w:hAnsi="Times New Roman" w:cs="Times New Roman"/>
          <w:sz w:val="24"/>
          <w:szCs w:val="28"/>
        </w:rPr>
        <w:t>届毕业生对学校的综合满意度高达</w:t>
      </w:r>
      <w:r>
        <w:rPr>
          <w:rFonts w:hint="eastAsia" w:ascii="Times New Roman" w:hAnsi="Times New Roman" w:cs="Times New Roman"/>
          <w:sz w:val="24"/>
          <w:szCs w:val="28"/>
          <w:lang w:val="en-US" w:eastAsia="zh-CN"/>
        </w:rPr>
        <w:t>100</w:t>
      </w:r>
      <w:r>
        <w:rPr>
          <w:rFonts w:hint="eastAsia" w:ascii="Times New Roman" w:hAnsi="Times New Roman" w:cs="Times New Roman"/>
          <w:sz w:val="24"/>
          <w:szCs w:val="28"/>
        </w:rPr>
        <w:t>%。</w:t>
      </w:r>
    </w:p>
    <w:p>
      <w:pPr>
        <w:pStyle w:val="34"/>
        <w:ind w:firstLine="0" w:firstLineChars="0"/>
        <w:jc w:val="center"/>
        <w:rPr>
          <w:rFonts w:ascii="Times New Roman" w:hAnsi="Times New Roman" w:cs="Times New Roman"/>
          <w:szCs w:val="28"/>
        </w:rPr>
      </w:pPr>
      <w:r>
        <w:rPr>
          <w:rFonts w:ascii="Times New Roman" w:hAnsi="Times New Roman" w:cs="Times New Roman" w:eastAsiaTheme="minorEastAsia"/>
          <w:b/>
        </w:rPr>
        <w:drawing>
          <wp:inline distT="0" distB="0" distL="0" distR="0">
            <wp:extent cx="4846320" cy="1926590"/>
            <wp:effectExtent l="5080" t="4445" r="6350" b="12065"/>
            <wp:docPr id="42" name="图表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图2-2</w:t>
      </w:r>
      <w:r>
        <w:rPr>
          <w:rFonts w:hint="eastAsia" w:ascii="Times New Roman" w:hAnsi="Times New Roman" w:cs="Times New Roman"/>
          <w:b/>
          <w:color w:val="000000" w:themeColor="text1"/>
          <w:kern w:val="2"/>
          <w:sz w:val="21"/>
          <w:szCs w:val="21"/>
          <w14:textFill>
            <w14:solidFill>
              <w14:schemeClr w14:val="tx1"/>
            </w14:solidFill>
          </w14:textFill>
        </w:rPr>
        <w:t xml:space="preserve"> </w:t>
      </w:r>
      <w:r>
        <w:rPr>
          <w:rFonts w:ascii="Times New Roman" w:hAnsi="Times New Roman" w:cs="Times New Roman"/>
          <w:b/>
          <w:color w:val="000000" w:themeColor="text1"/>
          <w:kern w:val="2"/>
          <w:sz w:val="21"/>
          <w:szCs w:val="21"/>
          <w14:textFill>
            <w14:solidFill>
              <w14:schemeClr w14:val="tx1"/>
            </w14:solidFill>
          </w14:textFill>
        </w:rPr>
        <w:t xml:space="preserve"> 毕业生总体满意度统计</w:t>
      </w:r>
    </w:p>
    <w:p>
      <w:pPr>
        <w:pStyle w:val="5"/>
        <w:rPr>
          <w:rFonts w:ascii="Times New Roman" w:hAnsi="Times New Roman"/>
        </w:rPr>
      </w:pPr>
      <w:bookmarkStart w:id="49" w:name="_Toc2183"/>
      <w:bookmarkStart w:id="50" w:name="_Toc61256676"/>
      <w:r>
        <w:rPr>
          <w:rFonts w:ascii="Times New Roman" w:hAnsi="Times New Roman"/>
        </w:rPr>
        <w:t>（三）资助情况</w:t>
      </w:r>
      <w:bookmarkEnd w:id="49"/>
      <w:bookmarkEnd w:id="50"/>
    </w:p>
    <w:p>
      <w:pPr>
        <w:pStyle w:val="34"/>
        <w:spacing w:line="300" w:lineRule="auto"/>
        <w:ind w:firstLine="480"/>
        <w:rPr>
          <w:rFonts w:ascii="Times New Roman" w:hAnsi="Times New Roman" w:cs="Times New Roman"/>
          <w:sz w:val="24"/>
          <w:szCs w:val="28"/>
        </w:rPr>
      </w:pPr>
      <w:r>
        <w:rPr>
          <w:rFonts w:hint="eastAsia" w:ascii="Times New Roman" w:hAnsi="Times New Roman" w:cs="Times New Roman"/>
          <w:sz w:val="24"/>
          <w:szCs w:val="28"/>
          <w:lang w:val="en-US" w:eastAsia="zh-CN"/>
        </w:rPr>
        <w:t>本学年，</w:t>
      </w:r>
      <w:r>
        <w:rPr>
          <w:rFonts w:hint="eastAsia" w:ascii="Times New Roman" w:hAnsi="Times New Roman" w:cs="Times New Roman"/>
          <w:sz w:val="24"/>
          <w:szCs w:val="28"/>
        </w:rPr>
        <w:t>学校根据《财政部等六部门关于印发</w:t>
      </w:r>
      <w:r>
        <w:rPr>
          <w:rFonts w:hint="eastAsia" w:ascii="Times New Roman" w:hAnsi="Times New Roman" w:cs="Times New Roman"/>
          <w:sz w:val="24"/>
          <w:szCs w:val="28"/>
          <w:lang w:eastAsia="zh-CN"/>
        </w:rPr>
        <w:t>〈</w:t>
      </w:r>
      <w:r>
        <w:rPr>
          <w:rFonts w:hint="eastAsia" w:ascii="Times New Roman" w:hAnsi="Times New Roman" w:cs="Times New Roman"/>
          <w:sz w:val="24"/>
          <w:szCs w:val="28"/>
        </w:rPr>
        <w:t>学生资助资金管理办法</w:t>
      </w:r>
      <w:r>
        <w:rPr>
          <w:rFonts w:hint="eastAsia" w:ascii="Times New Roman" w:hAnsi="Times New Roman" w:cs="Times New Roman"/>
          <w:sz w:val="24"/>
          <w:szCs w:val="28"/>
          <w:lang w:eastAsia="zh-CN"/>
        </w:rPr>
        <w:t>〉</w:t>
      </w:r>
      <w:r>
        <w:rPr>
          <w:rFonts w:hint="eastAsia" w:ascii="Times New Roman" w:hAnsi="Times New Roman" w:cs="Times New Roman"/>
          <w:sz w:val="24"/>
          <w:szCs w:val="28"/>
        </w:rPr>
        <w:t>的通知》</w:t>
      </w:r>
      <w:r>
        <w:rPr>
          <w:rFonts w:hint="eastAsia" w:ascii="Times New Roman" w:hAnsi="Times New Roman" w:cs="Times New Roman"/>
          <w:sz w:val="24"/>
          <w:szCs w:val="28"/>
          <w:lang w:val="en-US" w:eastAsia="zh-CN"/>
        </w:rPr>
        <w:t>结合省、市相关要求，严格按照各类奖助学金评审规定开展工作，熟悉政策，宣传到位，</w:t>
      </w:r>
      <w:r>
        <w:rPr>
          <w:rFonts w:ascii="Times New Roman" w:hAnsi="Times New Roman" w:cs="Times New Roman"/>
          <w:sz w:val="24"/>
          <w:szCs w:val="28"/>
        </w:rPr>
        <w:t>扎实做好各类资助发放工作，使符合条件的学生全部享受到资助，保证此项民生工程真正落到实处。</w:t>
      </w:r>
      <w:r>
        <w:rPr>
          <w:rFonts w:hint="eastAsia" w:ascii="Times New Roman" w:hAnsi="Times New Roman" w:cs="Times New Roman"/>
          <w:sz w:val="24"/>
          <w:szCs w:val="28"/>
          <w:lang w:val="en-US" w:eastAsia="zh-CN"/>
        </w:rPr>
        <w:t>2020-2021学年</w:t>
      </w:r>
      <w:r>
        <w:rPr>
          <w:rFonts w:hint="eastAsia" w:ascii="Times New Roman" w:hAnsi="Times New Roman" w:cs="Times New Roman"/>
          <w:sz w:val="24"/>
          <w:szCs w:val="28"/>
        </w:rPr>
        <w:t>全校共</w:t>
      </w:r>
      <w:r>
        <w:rPr>
          <w:rFonts w:hint="eastAsia" w:ascii="Times New Roman" w:hAnsi="Times New Roman" w:cs="Times New Roman"/>
          <w:sz w:val="24"/>
          <w:szCs w:val="28"/>
          <w:lang w:val="en-US" w:eastAsia="zh-CN"/>
        </w:rPr>
        <w:t>2408</w:t>
      </w:r>
      <w:r>
        <w:rPr>
          <w:rFonts w:hint="eastAsia" w:ascii="Times New Roman" w:hAnsi="Times New Roman" w:cs="Times New Roman"/>
          <w:sz w:val="24"/>
          <w:szCs w:val="28"/>
        </w:rPr>
        <w:t>人次获得国家助学金，共计</w:t>
      </w:r>
      <w:r>
        <w:rPr>
          <w:rFonts w:hint="eastAsia" w:ascii="Times New Roman" w:hAnsi="Times New Roman" w:cs="Times New Roman"/>
          <w:sz w:val="24"/>
          <w:szCs w:val="28"/>
          <w:lang w:val="en-US" w:eastAsia="zh-CN"/>
        </w:rPr>
        <w:t>106.949</w:t>
      </w:r>
      <w:r>
        <w:rPr>
          <w:rFonts w:hint="eastAsia" w:ascii="Times New Roman" w:hAnsi="Times New Roman" w:cs="Times New Roman"/>
          <w:sz w:val="24"/>
          <w:szCs w:val="28"/>
        </w:rPr>
        <w:t>万元；</w:t>
      </w:r>
      <w:r>
        <w:rPr>
          <w:rFonts w:hint="eastAsia" w:ascii="Times New Roman" w:hAnsi="Times New Roman" w:cs="Times New Roman"/>
          <w:sz w:val="24"/>
          <w:szCs w:val="28"/>
          <w:lang w:val="en-US" w:eastAsia="zh-CN"/>
        </w:rPr>
        <w:t>3096</w:t>
      </w:r>
      <w:r>
        <w:rPr>
          <w:rFonts w:hint="eastAsia" w:ascii="Times New Roman" w:hAnsi="Times New Roman" w:cs="Times New Roman"/>
          <w:sz w:val="24"/>
          <w:szCs w:val="28"/>
        </w:rPr>
        <w:t>人次获得国家资助减免学费，共计</w:t>
      </w:r>
      <w:r>
        <w:rPr>
          <w:rFonts w:hint="eastAsia" w:ascii="Times New Roman" w:hAnsi="Times New Roman" w:cs="Times New Roman"/>
          <w:sz w:val="24"/>
          <w:szCs w:val="28"/>
          <w:lang w:val="en-US" w:eastAsia="zh-CN"/>
        </w:rPr>
        <w:t>309.6</w:t>
      </w:r>
      <w:r>
        <w:rPr>
          <w:rFonts w:hint="eastAsia" w:ascii="Times New Roman" w:hAnsi="Times New Roman" w:cs="Times New Roman"/>
          <w:sz w:val="24"/>
          <w:szCs w:val="28"/>
        </w:rPr>
        <w:t>万元；</w:t>
      </w:r>
      <w:r>
        <w:rPr>
          <w:rFonts w:hint="eastAsia" w:ascii="Times New Roman" w:hAnsi="Times New Roman" w:cs="Times New Roman"/>
          <w:sz w:val="24"/>
          <w:szCs w:val="28"/>
          <w:lang w:val="en-US" w:eastAsia="zh-CN"/>
        </w:rPr>
        <w:t>2206</w:t>
      </w:r>
      <w:r>
        <w:rPr>
          <w:rFonts w:hint="eastAsia" w:ascii="Times New Roman" w:hAnsi="Times New Roman" w:cs="Times New Roman"/>
          <w:sz w:val="24"/>
          <w:szCs w:val="28"/>
        </w:rPr>
        <w:t>人次获得国家资助减免教材费，共计</w:t>
      </w:r>
      <w:r>
        <w:rPr>
          <w:rFonts w:hint="eastAsia" w:ascii="Times New Roman" w:hAnsi="Times New Roman" w:cs="Times New Roman"/>
          <w:sz w:val="24"/>
          <w:szCs w:val="28"/>
          <w:lang w:val="en-US" w:eastAsia="zh-CN"/>
        </w:rPr>
        <w:t>44.12</w:t>
      </w:r>
      <w:r>
        <w:rPr>
          <w:rFonts w:hint="eastAsia" w:ascii="Times New Roman" w:hAnsi="Times New Roman" w:cs="Times New Roman"/>
          <w:sz w:val="24"/>
          <w:szCs w:val="28"/>
        </w:rPr>
        <w:t>万元；</w:t>
      </w:r>
      <w:r>
        <w:rPr>
          <w:rFonts w:hint="eastAsia" w:ascii="Times New Roman" w:hAnsi="Times New Roman" w:cs="Times New Roman"/>
          <w:sz w:val="24"/>
          <w:szCs w:val="28"/>
          <w:lang w:val="en-US" w:eastAsia="zh-CN"/>
        </w:rPr>
        <w:t>56</w:t>
      </w:r>
      <w:r>
        <w:rPr>
          <w:rFonts w:hint="eastAsia" w:ascii="Times New Roman" w:hAnsi="Times New Roman" w:cs="Times New Roman"/>
          <w:sz w:val="24"/>
          <w:szCs w:val="28"/>
        </w:rPr>
        <w:t>人获得地方政府资助的三江源补助，共计</w:t>
      </w:r>
      <w:r>
        <w:rPr>
          <w:rFonts w:hint="eastAsia" w:ascii="Times New Roman" w:hAnsi="Times New Roman" w:cs="Times New Roman"/>
          <w:sz w:val="24"/>
          <w:szCs w:val="28"/>
          <w:lang w:val="en-US" w:eastAsia="zh-CN"/>
        </w:rPr>
        <w:t>8.12</w:t>
      </w:r>
      <w:r>
        <w:rPr>
          <w:rFonts w:hint="eastAsia" w:ascii="Times New Roman" w:hAnsi="Times New Roman" w:cs="Times New Roman"/>
          <w:sz w:val="24"/>
          <w:szCs w:val="28"/>
        </w:rPr>
        <w:t>万元。</w:t>
      </w:r>
      <w:r>
        <w:rPr>
          <w:rFonts w:hint="eastAsia" w:ascii="Times New Roman" w:hAnsi="Times New Roman" w:cs="Times New Roman"/>
          <w:sz w:val="24"/>
          <w:szCs w:val="28"/>
          <w:lang w:val="en-US" w:eastAsia="zh-CN"/>
        </w:rPr>
        <w:t>2020-2021</w:t>
      </w:r>
      <w:r>
        <w:rPr>
          <w:rFonts w:hint="eastAsia" w:ascii="Times New Roman" w:hAnsi="Times New Roman" w:cs="Times New Roman"/>
          <w:sz w:val="24"/>
          <w:szCs w:val="28"/>
        </w:rPr>
        <w:t>学年资助情况见表2-</w:t>
      </w:r>
      <w:r>
        <w:rPr>
          <w:rFonts w:ascii="Times New Roman" w:hAnsi="Times New Roman" w:cs="Times New Roman"/>
          <w:sz w:val="24"/>
          <w:szCs w:val="28"/>
        </w:rPr>
        <w:t>2</w:t>
      </w:r>
      <w:r>
        <w:rPr>
          <w:rFonts w:hint="eastAsia" w:ascii="Times New Roman" w:hAnsi="Times New Roman" w:cs="Times New Roman"/>
          <w:sz w:val="24"/>
          <w:szCs w:val="28"/>
        </w:rPr>
        <w:t>。</w:t>
      </w:r>
    </w:p>
    <w:p>
      <w:pP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br w:type="page"/>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表</w:t>
      </w:r>
      <w:r>
        <w:rPr>
          <w:rFonts w:hint="eastAsia" w:ascii="Times New Roman" w:hAnsi="Times New Roman" w:cs="Times New Roman"/>
          <w:b/>
          <w:color w:val="000000" w:themeColor="text1"/>
          <w:kern w:val="2"/>
          <w:sz w:val="21"/>
          <w:szCs w:val="21"/>
          <w14:textFill>
            <w14:solidFill>
              <w14:schemeClr w14:val="tx1"/>
            </w14:solidFill>
          </w14:textFill>
        </w:rPr>
        <w:t>2</w:t>
      </w:r>
      <w:r>
        <w:rPr>
          <w:rFonts w:ascii="Times New Roman" w:hAnsi="Times New Roman" w:cs="Times New Roman"/>
          <w:b/>
          <w:color w:val="000000" w:themeColor="text1"/>
          <w:kern w:val="2"/>
          <w:sz w:val="21"/>
          <w:szCs w:val="21"/>
          <w14:textFill>
            <w14:solidFill>
              <w14:schemeClr w14:val="tx1"/>
            </w14:solidFill>
          </w14:textFill>
        </w:rPr>
        <w:t xml:space="preserve">-2  </w:t>
      </w:r>
      <w:r>
        <w:rPr>
          <w:rFonts w:hint="eastAsia" w:ascii="Times New Roman" w:hAnsi="Times New Roman" w:cs="Times New Roman"/>
          <w:b/>
          <w:color w:val="000000" w:themeColor="text1"/>
          <w:kern w:val="2"/>
          <w:sz w:val="21"/>
          <w:szCs w:val="21"/>
          <w14:textFill>
            <w14:solidFill>
              <w14:schemeClr w14:val="tx1"/>
            </w14:solidFill>
          </w14:textFill>
        </w:rPr>
        <w:t>2020</w:t>
      </w:r>
      <w:r>
        <w:rPr>
          <w:rFonts w:hint="eastAsia" w:ascii="Times New Roman" w:hAnsi="Times New Roman" w:cs="Times New Roman"/>
          <w:b/>
          <w:color w:val="000000" w:themeColor="text1"/>
          <w:kern w:val="2"/>
          <w:sz w:val="21"/>
          <w:szCs w:val="21"/>
          <w:lang w:val="en-US" w:eastAsia="zh-CN"/>
          <w14:textFill>
            <w14:solidFill>
              <w14:schemeClr w14:val="tx1"/>
            </w14:solidFill>
          </w14:textFill>
        </w:rPr>
        <w:t>-2021</w:t>
      </w:r>
      <w:r>
        <w:rPr>
          <w:rFonts w:hint="eastAsia" w:ascii="Times New Roman" w:hAnsi="Times New Roman" w:cs="Times New Roman"/>
          <w:b/>
          <w:color w:val="000000" w:themeColor="text1"/>
          <w:kern w:val="2"/>
          <w:sz w:val="21"/>
          <w:szCs w:val="21"/>
          <w14:textFill>
            <w14:solidFill>
              <w14:schemeClr w14:val="tx1"/>
            </w14:solidFill>
          </w14:textFill>
        </w:rPr>
        <w:t>学年学生资助情况统计表</w:t>
      </w:r>
    </w:p>
    <w:tbl>
      <w:tblPr>
        <w:tblStyle w:val="17"/>
        <w:tblW w:w="8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1894"/>
        <w:gridCol w:w="1369"/>
        <w:gridCol w:w="1687"/>
        <w:gridCol w:w="24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7" w:type="dxa"/>
            <w:shd w:val="clear" w:color="auto" w:fill="C6D9F0" w:themeFill="text2" w:themeFillTint="33"/>
            <w:vAlign w:val="center"/>
          </w:tcPr>
          <w:p>
            <w:pPr>
              <w:jc w:val="center"/>
              <w:rPr>
                <w:rFonts w:ascii="Times New Roman" w:hAnsi="Times New Roman"/>
                <w:b/>
                <w:kern w:val="0"/>
                <w:szCs w:val="21"/>
              </w:rPr>
            </w:pPr>
            <w:r>
              <w:rPr>
                <w:rFonts w:hint="eastAsia" w:ascii="Times New Roman" w:hAnsi="Times New Roman"/>
                <w:b/>
                <w:kern w:val="0"/>
                <w:szCs w:val="21"/>
              </w:rPr>
              <w:t>序号</w:t>
            </w:r>
          </w:p>
        </w:tc>
        <w:tc>
          <w:tcPr>
            <w:tcW w:w="1894" w:type="dxa"/>
            <w:shd w:val="clear" w:color="auto" w:fill="C6D9F0" w:themeFill="text2" w:themeFillTint="33"/>
            <w:vAlign w:val="center"/>
          </w:tcPr>
          <w:p>
            <w:pPr>
              <w:jc w:val="center"/>
              <w:rPr>
                <w:rFonts w:ascii="Times New Roman" w:hAnsi="Times New Roman"/>
                <w:b/>
                <w:kern w:val="0"/>
                <w:szCs w:val="21"/>
              </w:rPr>
            </w:pPr>
            <w:r>
              <w:rPr>
                <w:rFonts w:hint="eastAsia" w:ascii="Times New Roman" w:hAnsi="Times New Roman"/>
                <w:b/>
                <w:kern w:val="0"/>
                <w:szCs w:val="21"/>
              </w:rPr>
              <w:t>项目名称</w:t>
            </w:r>
          </w:p>
        </w:tc>
        <w:tc>
          <w:tcPr>
            <w:tcW w:w="1369" w:type="dxa"/>
            <w:shd w:val="clear" w:color="auto" w:fill="C6D9F0" w:themeFill="text2" w:themeFillTint="33"/>
            <w:vAlign w:val="center"/>
          </w:tcPr>
          <w:p>
            <w:pPr>
              <w:jc w:val="center"/>
              <w:rPr>
                <w:rFonts w:ascii="Times New Roman" w:hAnsi="Times New Roman"/>
                <w:b/>
                <w:kern w:val="0"/>
                <w:szCs w:val="21"/>
              </w:rPr>
            </w:pPr>
            <w:r>
              <w:rPr>
                <w:rFonts w:hint="eastAsia" w:ascii="Times New Roman" w:hAnsi="Times New Roman"/>
                <w:b/>
                <w:kern w:val="0"/>
                <w:szCs w:val="21"/>
              </w:rPr>
              <w:t>人次</w:t>
            </w:r>
          </w:p>
        </w:tc>
        <w:tc>
          <w:tcPr>
            <w:tcW w:w="1687" w:type="dxa"/>
            <w:shd w:val="clear" w:color="auto" w:fill="C6D9F0" w:themeFill="text2" w:themeFillTint="33"/>
            <w:vAlign w:val="center"/>
          </w:tcPr>
          <w:p>
            <w:pPr>
              <w:jc w:val="center"/>
              <w:rPr>
                <w:rFonts w:ascii="Times New Roman" w:hAnsi="Times New Roman"/>
                <w:b/>
                <w:kern w:val="0"/>
                <w:szCs w:val="21"/>
              </w:rPr>
            </w:pPr>
            <w:r>
              <w:rPr>
                <w:rFonts w:hint="eastAsia" w:ascii="Times New Roman" w:hAnsi="Times New Roman"/>
                <w:b/>
                <w:kern w:val="0"/>
                <w:szCs w:val="21"/>
              </w:rPr>
              <w:t>金额</w:t>
            </w:r>
            <w:r>
              <w:rPr>
                <w:rFonts w:hint="eastAsia" w:ascii="Times New Roman" w:hAnsi="Times New Roman"/>
                <w:b/>
                <w:kern w:val="0"/>
                <w:szCs w:val="21"/>
                <w:lang w:eastAsia="zh-CN"/>
              </w:rPr>
              <w:t>（</w:t>
            </w:r>
            <w:r>
              <w:rPr>
                <w:rFonts w:hint="eastAsia" w:ascii="Times New Roman" w:hAnsi="Times New Roman"/>
                <w:b/>
                <w:kern w:val="0"/>
                <w:szCs w:val="21"/>
              </w:rPr>
              <w:t>万元</w:t>
            </w:r>
            <w:r>
              <w:rPr>
                <w:rFonts w:hint="eastAsia" w:ascii="Times New Roman" w:hAnsi="Times New Roman"/>
                <w:b/>
                <w:kern w:val="0"/>
                <w:szCs w:val="21"/>
                <w:lang w:eastAsia="zh-CN"/>
              </w:rPr>
              <w:t>）</w:t>
            </w:r>
          </w:p>
        </w:tc>
        <w:tc>
          <w:tcPr>
            <w:tcW w:w="2471" w:type="dxa"/>
            <w:shd w:val="clear" w:color="auto" w:fill="C6D9F0" w:themeFill="text2" w:themeFillTint="33"/>
            <w:vAlign w:val="center"/>
          </w:tcPr>
          <w:p>
            <w:pPr>
              <w:jc w:val="center"/>
              <w:rPr>
                <w:rFonts w:ascii="Times New Roman" w:hAnsi="Times New Roman"/>
                <w:b/>
                <w:kern w:val="0"/>
                <w:szCs w:val="21"/>
              </w:rPr>
            </w:pPr>
            <w:r>
              <w:rPr>
                <w:rFonts w:hint="eastAsia" w:ascii="Times New Roman" w:hAnsi="Times New Roman"/>
                <w:b/>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7" w:type="dxa"/>
            <w:shd w:val="clear" w:color="auto" w:fill="auto"/>
            <w:vAlign w:val="center"/>
          </w:tcPr>
          <w:p>
            <w:pPr>
              <w:jc w:val="center"/>
              <w:rPr>
                <w:rFonts w:ascii="Times New Roman" w:hAnsi="Times New Roman"/>
                <w:kern w:val="0"/>
                <w:szCs w:val="21"/>
              </w:rPr>
            </w:pPr>
            <w:r>
              <w:rPr>
                <w:rFonts w:hint="eastAsia" w:ascii="Times New Roman" w:hAnsi="Times New Roman"/>
                <w:kern w:val="0"/>
                <w:szCs w:val="21"/>
              </w:rPr>
              <w:t>1</w:t>
            </w:r>
          </w:p>
        </w:tc>
        <w:tc>
          <w:tcPr>
            <w:tcW w:w="1894" w:type="dxa"/>
            <w:shd w:val="clear" w:color="auto" w:fill="auto"/>
            <w:vAlign w:val="center"/>
          </w:tcPr>
          <w:p>
            <w:pPr>
              <w:jc w:val="center"/>
              <w:rPr>
                <w:rFonts w:ascii="Times New Roman" w:hAnsi="Times New Roman"/>
                <w:kern w:val="0"/>
                <w:szCs w:val="21"/>
              </w:rPr>
            </w:pPr>
            <w:r>
              <w:rPr>
                <w:rFonts w:ascii="Times New Roman" w:hAnsi="Times New Roman"/>
                <w:kern w:val="0"/>
                <w:szCs w:val="21"/>
              </w:rPr>
              <w:t>国家助学金</w:t>
            </w:r>
          </w:p>
        </w:tc>
        <w:tc>
          <w:tcPr>
            <w:tcW w:w="1369" w:type="dxa"/>
            <w:shd w:val="clear" w:color="auto" w:fill="auto"/>
            <w:vAlign w:val="center"/>
          </w:tcPr>
          <w:p>
            <w:pPr>
              <w:jc w:val="center"/>
              <w:rPr>
                <w:rFonts w:ascii="Times New Roman" w:hAnsi="Times New Roman"/>
                <w:kern w:val="0"/>
                <w:szCs w:val="21"/>
              </w:rPr>
            </w:pPr>
            <w:r>
              <w:rPr>
                <w:rFonts w:hint="eastAsia" w:ascii="Times New Roman" w:hAnsi="Times New Roman"/>
                <w:kern w:val="0"/>
                <w:szCs w:val="21"/>
                <w:lang w:val="en-US" w:eastAsia="zh-CN"/>
              </w:rPr>
              <w:t>2408</w:t>
            </w:r>
          </w:p>
        </w:tc>
        <w:tc>
          <w:tcPr>
            <w:tcW w:w="1687" w:type="dxa"/>
            <w:shd w:val="clear" w:color="auto" w:fill="auto"/>
            <w:vAlign w:val="center"/>
          </w:tcPr>
          <w:p>
            <w:pPr>
              <w:jc w:val="center"/>
              <w:rPr>
                <w:rFonts w:ascii="Times New Roman" w:hAnsi="Times New Roman"/>
                <w:kern w:val="0"/>
                <w:szCs w:val="21"/>
                <w:highlight w:val="none"/>
              </w:rPr>
            </w:pPr>
            <w:r>
              <w:rPr>
                <w:rFonts w:hint="eastAsia" w:ascii="Times New Roman" w:hAnsi="Times New Roman"/>
                <w:kern w:val="0"/>
                <w:szCs w:val="21"/>
                <w:highlight w:val="none"/>
                <w:lang w:val="en-US" w:eastAsia="zh-CN"/>
              </w:rPr>
              <w:t>106.949</w:t>
            </w:r>
          </w:p>
        </w:tc>
        <w:tc>
          <w:tcPr>
            <w:tcW w:w="2471" w:type="dxa"/>
            <w:shd w:val="clear" w:color="auto" w:fill="auto"/>
            <w:vAlign w:val="center"/>
          </w:tcPr>
          <w:p>
            <w:pPr>
              <w:jc w:val="center"/>
              <w:rPr>
                <w:rFonts w:ascii="Times New Roman" w:hAnsi="Times New Roman"/>
                <w:kern w:val="0"/>
                <w:szCs w:val="21"/>
              </w:rPr>
            </w:pPr>
            <w:r>
              <w:rPr>
                <w:rFonts w:hint="eastAsia" w:ascii="Times New Roman" w:hAnsi="Times New Roman"/>
                <w:kern w:val="0"/>
                <w:szCs w:val="21"/>
              </w:rPr>
              <w:t>国家资助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kern w:val="0"/>
                <w:szCs w:val="21"/>
              </w:rPr>
            </w:pPr>
            <w:r>
              <w:rPr>
                <w:rFonts w:hint="eastAsia" w:ascii="Times New Roman" w:hAnsi="Times New Roman"/>
                <w:kern w:val="0"/>
                <w:szCs w:val="21"/>
              </w:rPr>
              <w:t>2</w:t>
            </w:r>
          </w:p>
        </w:tc>
        <w:tc>
          <w:tcPr>
            <w:tcW w:w="18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kern w:val="0"/>
                <w:szCs w:val="21"/>
              </w:rPr>
            </w:pPr>
            <w:r>
              <w:rPr>
                <w:rFonts w:hint="eastAsia" w:ascii="Times New Roman" w:hAnsi="Times New Roman"/>
                <w:kern w:val="0"/>
                <w:szCs w:val="21"/>
              </w:rPr>
              <w:t>免学费</w:t>
            </w: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kern w:val="0"/>
                <w:szCs w:val="21"/>
              </w:rPr>
            </w:pPr>
            <w:r>
              <w:rPr>
                <w:rFonts w:hint="eastAsia" w:ascii="Times New Roman" w:hAnsi="Times New Roman"/>
                <w:kern w:val="0"/>
                <w:szCs w:val="21"/>
                <w:lang w:val="en-US" w:eastAsia="zh-CN"/>
              </w:rPr>
              <w:t>3096</w:t>
            </w:r>
          </w:p>
        </w:tc>
        <w:tc>
          <w:tcPr>
            <w:tcW w:w="168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kern w:val="0"/>
                <w:szCs w:val="21"/>
              </w:rPr>
            </w:pPr>
            <w:r>
              <w:rPr>
                <w:rFonts w:hint="eastAsia" w:ascii="Times New Roman" w:hAnsi="Times New Roman"/>
                <w:kern w:val="0"/>
                <w:szCs w:val="21"/>
                <w:lang w:val="en-US" w:eastAsia="zh-CN"/>
              </w:rPr>
              <w:t>309.6</w:t>
            </w:r>
          </w:p>
        </w:tc>
        <w:tc>
          <w:tcPr>
            <w:tcW w:w="247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kern w:val="0"/>
                <w:szCs w:val="21"/>
              </w:rPr>
            </w:pPr>
            <w:r>
              <w:rPr>
                <w:rFonts w:hint="eastAsia" w:ascii="Times New Roman" w:hAnsi="Times New Roman"/>
                <w:kern w:val="0"/>
                <w:szCs w:val="21"/>
              </w:rPr>
              <w:t>国家资助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kern w:val="0"/>
                <w:szCs w:val="21"/>
              </w:rPr>
            </w:pPr>
            <w:r>
              <w:rPr>
                <w:rFonts w:hint="eastAsia" w:ascii="Times New Roman" w:hAnsi="Times New Roman"/>
                <w:kern w:val="0"/>
                <w:szCs w:val="21"/>
              </w:rPr>
              <w:t>3</w:t>
            </w:r>
          </w:p>
        </w:tc>
        <w:tc>
          <w:tcPr>
            <w:tcW w:w="18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kern w:val="0"/>
                <w:szCs w:val="21"/>
              </w:rPr>
            </w:pPr>
            <w:r>
              <w:rPr>
                <w:rFonts w:hint="eastAsia" w:ascii="Times New Roman" w:hAnsi="Times New Roman"/>
                <w:kern w:val="0"/>
                <w:szCs w:val="21"/>
              </w:rPr>
              <w:t>免教材费</w:t>
            </w: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kern w:val="0"/>
                <w:szCs w:val="21"/>
              </w:rPr>
            </w:pPr>
            <w:r>
              <w:rPr>
                <w:rFonts w:hint="eastAsia" w:ascii="Times New Roman" w:hAnsi="Times New Roman"/>
                <w:kern w:val="0"/>
                <w:szCs w:val="21"/>
                <w:lang w:val="en-US" w:eastAsia="zh-CN"/>
              </w:rPr>
              <w:t>2206</w:t>
            </w:r>
          </w:p>
        </w:tc>
        <w:tc>
          <w:tcPr>
            <w:tcW w:w="168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kern w:val="0"/>
                <w:szCs w:val="21"/>
              </w:rPr>
            </w:pPr>
            <w:r>
              <w:rPr>
                <w:rFonts w:hint="eastAsia" w:ascii="Times New Roman" w:hAnsi="Times New Roman"/>
                <w:kern w:val="0"/>
                <w:szCs w:val="21"/>
                <w:lang w:val="en-US" w:eastAsia="zh-CN"/>
              </w:rPr>
              <w:t>44.12</w:t>
            </w:r>
          </w:p>
        </w:tc>
        <w:tc>
          <w:tcPr>
            <w:tcW w:w="247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kern w:val="0"/>
                <w:szCs w:val="21"/>
              </w:rPr>
            </w:pPr>
            <w:r>
              <w:rPr>
                <w:rFonts w:hint="eastAsia" w:ascii="Times New Roman" w:hAnsi="Times New Roman"/>
                <w:kern w:val="0"/>
                <w:szCs w:val="21"/>
              </w:rPr>
              <w:t>国家资助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5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kern w:val="0"/>
                <w:szCs w:val="21"/>
              </w:rPr>
            </w:pPr>
            <w:r>
              <w:rPr>
                <w:rFonts w:hint="eastAsia" w:ascii="Times New Roman" w:hAnsi="Times New Roman"/>
                <w:kern w:val="0"/>
                <w:szCs w:val="21"/>
              </w:rPr>
              <w:t>4</w:t>
            </w:r>
          </w:p>
        </w:tc>
        <w:tc>
          <w:tcPr>
            <w:tcW w:w="1894"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kern w:val="0"/>
                <w:szCs w:val="21"/>
              </w:rPr>
            </w:pPr>
            <w:r>
              <w:rPr>
                <w:rFonts w:hint="eastAsia" w:ascii="Times New Roman" w:hAnsi="Times New Roman"/>
                <w:kern w:val="0"/>
                <w:szCs w:val="21"/>
              </w:rPr>
              <w:t>三江源补助</w:t>
            </w: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kern w:val="0"/>
                <w:szCs w:val="21"/>
              </w:rPr>
            </w:pPr>
            <w:r>
              <w:rPr>
                <w:rFonts w:hint="eastAsia" w:ascii="Times New Roman" w:hAnsi="Times New Roman"/>
                <w:kern w:val="0"/>
                <w:szCs w:val="21"/>
                <w:lang w:val="en-US" w:eastAsia="zh-CN"/>
              </w:rPr>
              <w:t>56</w:t>
            </w:r>
          </w:p>
        </w:tc>
        <w:tc>
          <w:tcPr>
            <w:tcW w:w="168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kern w:val="0"/>
                <w:szCs w:val="21"/>
              </w:rPr>
            </w:pPr>
            <w:r>
              <w:rPr>
                <w:rFonts w:hint="eastAsia" w:ascii="Times New Roman" w:hAnsi="Times New Roman"/>
                <w:kern w:val="0"/>
                <w:szCs w:val="21"/>
                <w:lang w:val="en-US" w:eastAsia="zh-CN"/>
              </w:rPr>
              <w:t>8.12</w:t>
            </w:r>
          </w:p>
        </w:tc>
        <w:tc>
          <w:tcPr>
            <w:tcW w:w="247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kern w:val="0"/>
                <w:szCs w:val="21"/>
              </w:rPr>
            </w:pPr>
            <w:r>
              <w:rPr>
                <w:rFonts w:hint="eastAsia" w:ascii="Times New Roman" w:hAnsi="Times New Roman"/>
                <w:kern w:val="0"/>
                <w:szCs w:val="21"/>
              </w:rPr>
              <w:t>地方政府资助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5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kern w:val="0"/>
                <w:szCs w:val="21"/>
              </w:rPr>
            </w:pPr>
            <w:r>
              <w:rPr>
                <w:rFonts w:hint="eastAsia" w:ascii="Times New Roman" w:hAnsi="Times New Roman"/>
                <w:kern w:val="0"/>
                <w:szCs w:val="21"/>
              </w:rPr>
              <w:t>合计</w:t>
            </w:r>
          </w:p>
        </w:tc>
        <w:tc>
          <w:tcPr>
            <w:tcW w:w="136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kern w:val="0"/>
                <w:szCs w:val="21"/>
                <w:lang w:val="en-US" w:eastAsia="zh-CN"/>
              </w:rPr>
            </w:pPr>
            <w:r>
              <w:rPr>
                <w:rFonts w:hint="eastAsia" w:ascii="Times New Roman" w:hAnsi="Times New Roman"/>
                <w:kern w:val="0"/>
                <w:szCs w:val="21"/>
                <w:lang w:val="en-US" w:eastAsia="zh-CN"/>
              </w:rPr>
              <w:t>7766</w:t>
            </w:r>
          </w:p>
        </w:tc>
        <w:tc>
          <w:tcPr>
            <w:tcW w:w="168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default" w:ascii="Times New Roman" w:hAnsi="Times New Roman" w:eastAsia="宋体"/>
                <w:kern w:val="0"/>
                <w:szCs w:val="21"/>
                <w:highlight w:val="none"/>
                <w:lang w:val="en-US" w:eastAsia="zh-CN"/>
              </w:rPr>
            </w:pPr>
            <w:r>
              <w:rPr>
                <w:rFonts w:hint="eastAsia" w:ascii="Times New Roman" w:hAnsi="Times New Roman"/>
                <w:kern w:val="0"/>
                <w:szCs w:val="21"/>
                <w:highlight w:val="none"/>
                <w:lang w:val="en-US" w:eastAsia="zh-CN"/>
              </w:rPr>
              <w:t>468.789</w:t>
            </w:r>
          </w:p>
        </w:tc>
        <w:tc>
          <w:tcPr>
            <w:tcW w:w="247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kern w:val="0"/>
                <w:szCs w:val="21"/>
              </w:rPr>
            </w:pPr>
          </w:p>
        </w:tc>
      </w:tr>
    </w:tbl>
    <w:p>
      <w:pPr>
        <w:rPr>
          <w:rFonts w:ascii="Times New Roman" w:hAnsi="Times New Roman" w:eastAsia="楷体"/>
        </w:rPr>
      </w:pPr>
      <w:r>
        <w:rPr>
          <w:rFonts w:hint="eastAsia" w:ascii="Times New Roman" w:hAnsi="Times New Roman" w:eastAsia="楷体"/>
        </w:rPr>
        <w:t>备注：以上人次为</w:t>
      </w:r>
      <w:r>
        <w:rPr>
          <w:rFonts w:hint="eastAsia" w:ascii="Times New Roman" w:hAnsi="Times New Roman" w:eastAsia="楷体"/>
          <w:lang w:val="en-US" w:eastAsia="zh-CN"/>
        </w:rPr>
        <w:t>2020-2021</w:t>
      </w:r>
      <w:r>
        <w:rPr>
          <w:rFonts w:hint="eastAsia" w:ascii="Times New Roman" w:hAnsi="Times New Roman" w:eastAsia="楷体"/>
        </w:rPr>
        <w:t>学年上、下学期累计人次。</w:t>
      </w:r>
    </w:p>
    <w:p>
      <w:pPr>
        <w:pStyle w:val="5"/>
        <w:rPr>
          <w:rFonts w:ascii="Times New Roman" w:hAnsi="Times New Roman"/>
        </w:rPr>
      </w:pPr>
      <w:bookmarkStart w:id="51" w:name="_Toc18578"/>
      <w:bookmarkStart w:id="52" w:name="_Toc61256677"/>
      <w:r>
        <w:rPr>
          <w:rFonts w:ascii="Times New Roman" w:hAnsi="Times New Roman"/>
        </w:rPr>
        <w:t>（四）就业质量</w:t>
      </w:r>
      <w:bookmarkEnd w:id="51"/>
      <w:bookmarkEnd w:id="52"/>
    </w:p>
    <w:p>
      <w:pPr>
        <w:pStyle w:val="34"/>
        <w:ind w:firstLine="562"/>
        <w:rPr>
          <w:rFonts w:ascii="Times New Roman" w:hAnsi="Times New Roman" w:cs="Times New Roman"/>
          <w:szCs w:val="28"/>
        </w:rPr>
      </w:pPr>
      <w:r>
        <w:rPr>
          <w:rFonts w:hint="eastAsia" w:ascii="Times New Roman" w:hAnsi="Times New Roman" w:cs="Times New Roman"/>
          <w:b/>
          <w:bCs/>
          <w:szCs w:val="28"/>
        </w:rPr>
        <w:t>1</w:t>
      </w:r>
      <w:r>
        <w:rPr>
          <w:rFonts w:ascii="Times New Roman" w:hAnsi="Times New Roman" w:cs="Times New Roman"/>
          <w:b/>
          <w:bCs/>
          <w:szCs w:val="28"/>
        </w:rPr>
        <w:t>.</w:t>
      </w:r>
      <w:r>
        <w:rPr>
          <w:rFonts w:ascii="Times New Roman" w:hAnsi="Times New Roman" w:cs="Times New Roman"/>
          <w:b/>
        </w:rPr>
        <w:t>就业率及对口就业率</w:t>
      </w:r>
    </w:p>
    <w:p>
      <w:pPr>
        <w:pStyle w:val="28"/>
        <w:spacing w:line="300" w:lineRule="auto"/>
        <w:ind w:firstLine="480" w:firstLineChars="200"/>
        <w:rPr>
          <w:rFonts w:ascii="Times New Roman" w:hAnsi="Times New Roman" w:cs="Times New Roman"/>
          <w:color w:val="000000" w:themeColor="text1"/>
          <w:szCs w:val="28"/>
          <w14:textFill>
            <w14:solidFill>
              <w14:schemeClr w14:val="tx1"/>
            </w14:solidFill>
          </w14:textFill>
        </w:rPr>
      </w:pPr>
      <w:r>
        <w:rPr>
          <w:rFonts w:ascii="Times New Roman" w:hAnsi="Times New Roman" w:cs="Times New Roman"/>
          <w:color w:val="000000" w:themeColor="text1"/>
          <w:szCs w:val="28"/>
          <w14:textFill>
            <w14:solidFill>
              <w14:schemeClr w14:val="tx1"/>
            </w14:solidFill>
          </w14:textFill>
        </w:rPr>
        <w:t>20</w:t>
      </w:r>
      <w:r>
        <w:rPr>
          <w:rFonts w:hint="eastAsia" w:ascii="Times New Roman" w:hAnsi="Times New Roman" w:cs="Times New Roman"/>
          <w:color w:val="000000" w:themeColor="text1"/>
          <w:szCs w:val="28"/>
          <w14:textFill>
            <w14:solidFill>
              <w14:schemeClr w14:val="tx1"/>
            </w14:solidFill>
          </w14:textFill>
        </w:rPr>
        <w:t>2</w:t>
      </w:r>
      <w:r>
        <w:rPr>
          <w:rFonts w:hint="default" w:ascii="Times New Roman" w:hAnsi="Times New Roman" w:cs="Times New Roman"/>
          <w:color w:val="000000" w:themeColor="text1"/>
          <w:szCs w:val="28"/>
          <w14:textFill>
            <w14:solidFill>
              <w14:schemeClr w14:val="tx1"/>
            </w14:solidFill>
          </w14:textFill>
        </w:rPr>
        <w:t>1</w:t>
      </w:r>
      <w:r>
        <w:rPr>
          <w:rFonts w:ascii="Times New Roman" w:hAnsi="Times New Roman" w:cs="Times New Roman"/>
          <w:color w:val="000000" w:themeColor="text1"/>
          <w:szCs w:val="28"/>
          <w14:textFill>
            <w14:solidFill>
              <w14:schemeClr w14:val="tx1"/>
            </w14:solidFill>
          </w14:textFill>
        </w:rPr>
        <w:t>届</w:t>
      </w:r>
      <w:r>
        <w:rPr>
          <w:rFonts w:hint="eastAsia" w:ascii="Times New Roman" w:hAnsi="Times New Roman" w:cs="Times New Roman"/>
          <w:color w:val="000000" w:themeColor="text1"/>
          <w:szCs w:val="28"/>
          <w14:textFill>
            <w14:solidFill>
              <w14:schemeClr w14:val="tx1"/>
            </w14:solidFill>
          </w14:textFill>
        </w:rPr>
        <w:t>毕业生</w:t>
      </w:r>
      <w:r>
        <w:rPr>
          <w:rFonts w:hint="default" w:ascii="Times New Roman" w:hAnsi="Times New Roman" w:cs="Times New Roman"/>
          <w:color w:val="000000" w:themeColor="text1"/>
          <w:szCs w:val="28"/>
          <w14:textFill>
            <w14:solidFill>
              <w14:schemeClr w14:val="tx1"/>
            </w14:solidFill>
          </w14:textFill>
        </w:rPr>
        <w:t>365</w:t>
      </w:r>
      <w:r>
        <w:rPr>
          <w:rFonts w:hint="eastAsia" w:ascii="Times New Roman" w:hAnsi="Times New Roman" w:cs="Times New Roman"/>
          <w:color w:val="000000" w:themeColor="text1"/>
          <w:szCs w:val="28"/>
          <w14:textFill>
            <w14:solidFill>
              <w14:schemeClr w14:val="tx1"/>
            </w14:solidFill>
          </w14:textFill>
        </w:rPr>
        <w:t>人，就业</w:t>
      </w:r>
      <w:r>
        <w:rPr>
          <w:rFonts w:hint="default" w:ascii="Times New Roman" w:hAnsi="Times New Roman" w:cs="Times New Roman"/>
          <w:color w:val="000000" w:themeColor="text1"/>
          <w:szCs w:val="28"/>
          <w14:textFill>
            <w14:solidFill>
              <w14:schemeClr w14:val="tx1"/>
            </w14:solidFill>
          </w14:textFill>
        </w:rPr>
        <w:t>350</w:t>
      </w:r>
      <w:r>
        <w:rPr>
          <w:rFonts w:hint="eastAsia" w:ascii="Times New Roman" w:hAnsi="Times New Roman" w:cs="Times New Roman"/>
          <w:color w:val="000000" w:themeColor="text1"/>
          <w:szCs w:val="28"/>
          <w14:textFill>
            <w14:solidFill>
              <w14:schemeClr w14:val="tx1"/>
            </w14:solidFill>
          </w14:textFill>
        </w:rPr>
        <w:t>人，</w:t>
      </w:r>
      <w:r>
        <w:rPr>
          <w:rFonts w:ascii="Times New Roman" w:hAnsi="Times New Roman" w:cs="Times New Roman"/>
          <w:color w:val="000000" w:themeColor="text1"/>
          <w:szCs w:val="28"/>
          <w14:textFill>
            <w14:solidFill>
              <w14:schemeClr w14:val="tx1"/>
            </w14:solidFill>
          </w14:textFill>
        </w:rPr>
        <w:t>初次</w:t>
      </w:r>
      <w:r>
        <w:rPr>
          <w:rFonts w:hint="eastAsia" w:ascii="Times New Roman" w:hAnsi="Times New Roman" w:cs="Times New Roman"/>
          <w:color w:val="000000" w:themeColor="text1"/>
          <w:szCs w:val="28"/>
          <w14:textFill>
            <w14:solidFill>
              <w14:schemeClr w14:val="tx1"/>
            </w14:solidFill>
          </w14:textFill>
        </w:rPr>
        <w:t>就业率</w:t>
      </w:r>
      <w:r>
        <w:rPr>
          <w:rFonts w:hint="default" w:ascii="Times New Roman" w:hAnsi="Times New Roman" w:cs="Times New Roman"/>
          <w:color w:val="000000" w:themeColor="text1"/>
          <w:szCs w:val="28"/>
          <w14:textFill>
            <w14:solidFill>
              <w14:schemeClr w14:val="tx1"/>
            </w14:solidFill>
          </w14:textFill>
        </w:rPr>
        <w:t>95.90</w:t>
      </w:r>
      <w:r>
        <w:rPr>
          <w:rFonts w:hint="eastAsia" w:ascii="Times New Roman" w:hAnsi="Times New Roman" w:cs="Times New Roman"/>
          <w:color w:val="000000" w:themeColor="text1"/>
          <w:szCs w:val="28"/>
          <w14:textFill>
            <w14:solidFill>
              <w14:schemeClr w14:val="tx1"/>
            </w14:solidFill>
          </w14:textFill>
        </w:rPr>
        <w:t>%</w:t>
      </w:r>
      <w:r>
        <w:rPr>
          <w:rFonts w:ascii="Times New Roman" w:hAnsi="Times New Roman" w:cs="Times New Roman"/>
          <w:color w:val="000000" w:themeColor="text1"/>
          <w:szCs w:val="28"/>
          <w14:textFill>
            <w14:solidFill>
              <w14:schemeClr w14:val="tx1"/>
            </w14:solidFill>
          </w14:textFill>
        </w:rPr>
        <w:t>，</w:t>
      </w:r>
      <w:r>
        <w:rPr>
          <w:rFonts w:hint="eastAsia" w:ascii="Times New Roman" w:hAnsi="Times New Roman" w:cs="Times New Roman"/>
          <w:color w:val="000000" w:themeColor="text1"/>
          <w:szCs w:val="28"/>
          <w14:textFill>
            <w14:solidFill>
              <w14:schemeClr w14:val="tx1"/>
            </w14:solidFill>
          </w14:textFill>
        </w:rPr>
        <w:t>较上学年</w:t>
      </w:r>
      <w:r>
        <w:rPr>
          <w:rFonts w:hint="eastAsia" w:ascii="Times New Roman" w:hAnsi="Times New Roman" w:cs="Times New Roman"/>
          <w:color w:val="000000" w:themeColor="text1"/>
          <w:szCs w:val="28"/>
          <w:lang w:val="en-US" w:eastAsia="zh-Hans"/>
          <w14:textFill>
            <w14:solidFill>
              <w14:schemeClr w14:val="tx1"/>
            </w14:solidFill>
          </w14:textFill>
        </w:rPr>
        <w:t>无变化</w:t>
      </w:r>
      <w:r>
        <w:rPr>
          <w:rFonts w:ascii="Times New Roman" w:hAnsi="Times New Roman" w:cs="Times New Roman"/>
          <w:color w:val="000000" w:themeColor="text1"/>
          <w:szCs w:val="28"/>
          <w14:textFill>
            <w14:solidFill>
              <w14:schemeClr w14:val="tx1"/>
            </w14:solidFill>
          </w14:textFill>
        </w:rPr>
        <w:t>；专业对口就业率</w:t>
      </w:r>
      <w:r>
        <w:rPr>
          <w:rFonts w:hint="default" w:ascii="Times New Roman" w:hAnsi="Times New Roman" w:cs="Times New Roman"/>
          <w:color w:val="000000" w:themeColor="text1"/>
          <w:szCs w:val="28"/>
          <w14:textFill>
            <w14:solidFill>
              <w14:schemeClr w14:val="tx1"/>
            </w14:solidFill>
          </w14:textFill>
        </w:rPr>
        <w:t>95.00</w:t>
      </w:r>
      <w:r>
        <w:rPr>
          <w:rFonts w:ascii="Times New Roman" w:hAnsi="Times New Roman" w:cs="Times New Roman"/>
          <w:color w:val="000000" w:themeColor="text1"/>
          <w:szCs w:val="28"/>
          <w14:textFill>
            <w14:solidFill>
              <w14:schemeClr w14:val="tx1"/>
            </w14:solidFill>
          </w14:textFill>
        </w:rPr>
        <w:t>%，</w:t>
      </w:r>
      <w:r>
        <w:rPr>
          <w:rFonts w:hint="eastAsia" w:ascii="Times New Roman" w:hAnsi="Times New Roman" w:cs="Times New Roman"/>
          <w:color w:val="000000" w:themeColor="text1"/>
          <w:szCs w:val="28"/>
          <w14:textFill>
            <w14:solidFill>
              <w14:schemeClr w14:val="tx1"/>
            </w14:solidFill>
          </w14:textFill>
        </w:rPr>
        <w:t>较上学年提高</w:t>
      </w:r>
      <w:r>
        <w:rPr>
          <w:rFonts w:hint="default" w:ascii="Times New Roman" w:hAnsi="Times New Roman" w:cs="Times New Roman"/>
          <w:color w:val="000000" w:themeColor="text1"/>
          <w:szCs w:val="28"/>
          <w14:textFill>
            <w14:solidFill>
              <w14:schemeClr w14:val="tx1"/>
            </w14:solidFill>
          </w14:textFill>
        </w:rPr>
        <w:t>0.50</w:t>
      </w:r>
      <w:r>
        <w:rPr>
          <w:rFonts w:hint="eastAsia" w:ascii="Times New Roman" w:hAnsi="Times New Roman" w:cs="Times New Roman"/>
          <w:color w:val="000000" w:themeColor="text1"/>
          <w:szCs w:val="28"/>
          <w14:textFill>
            <w14:solidFill>
              <w14:schemeClr w14:val="tx1"/>
            </w14:solidFill>
          </w14:textFill>
        </w:rPr>
        <w:t>%；毕业生初次就业月平均收入2200元，与上年持平。</w:t>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表2-3  就业</w:t>
      </w:r>
      <w:r>
        <w:rPr>
          <w:rFonts w:hint="eastAsia" w:ascii="Times New Roman" w:hAnsi="Times New Roman" w:cs="Times New Roman"/>
          <w:b/>
          <w:color w:val="000000" w:themeColor="text1"/>
          <w:kern w:val="2"/>
          <w:sz w:val="21"/>
          <w:szCs w:val="21"/>
          <w14:textFill>
            <w14:solidFill>
              <w14:schemeClr w14:val="tx1"/>
            </w14:solidFill>
          </w14:textFill>
        </w:rPr>
        <w:t>质量</w:t>
      </w:r>
      <w:r>
        <w:rPr>
          <w:rFonts w:ascii="Times New Roman" w:hAnsi="Times New Roman" w:cs="Times New Roman"/>
          <w:b/>
          <w:color w:val="000000" w:themeColor="text1"/>
          <w:kern w:val="2"/>
          <w:sz w:val="21"/>
          <w:szCs w:val="21"/>
          <w14:textFill>
            <w14:solidFill>
              <w14:schemeClr w14:val="tx1"/>
            </w14:solidFill>
          </w14:textFill>
        </w:rPr>
        <w:t>统计</w:t>
      </w:r>
    </w:p>
    <w:tbl>
      <w:tblPr>
        <w:tblStyle w:val="17"/>
        <w:tblW w:w="8278" w:type="dxa"/>
        <w:jc w:val="center"/>
        <w:tblBorders>
          <w:top w:val="single" w:color="000001" w:sz="4" w:space="0"/>
          <w:left w:val="single" w:color="000001" w:sz="4" w:space="0"/>
          <w:bottom w:val="none" w:color="auto" w:sz="0" w:space="0"/>
          <w:right w:val="single" w:color="000001" w:sz="4" w:space="0"/>
          <w:insideH w:val="none" w:color="auto" w:sz="0" w:space="0"/>
          <w:insideV w:val="single" w:color="000001" w:sz="4" w:space="0"/>
        </w:tblBorders>
        <w:tblLayout w:type="fixed"/>
        <w:tblCellMar>
          <w:top w:w="15" w:type="dxa"/>
          <w:left w:w="10" w:type="dxa"/>
          <w:bottom w:w="15" w:type="dxa"/>
          <w:right w:w="15" w:type="dxa"/>
        </w:tblCellMar>
      </w:tblPr>
      <w:tblGrid>
        <w:gridCol w:w="1561"/>
        <w:gridCol w:w="1269"/>
        <w:gridCol w:w="1565"/>
        <w:gridCol w:w="1166"/>
        <w:gridCol w:w="1428"/>
        <w:gridCol w:w="1289"/>
      </w:tblGrid>
      <w:tr>
        <w:tblPrEx>
          <w:tblBorders>
            <w:top w:val="single" w:color="000001" w:sz="4" w:space="0"/>
            <w:left w:val="single" w:color="000001" w:sz="4" w:space="0"/>
            <w:bottom w:val="none" w:color="auto" w:sz="0" w:space="0"/>
            <w:right w:val="single" w:color="000001" w:sz="4" w:space="0"/>
            <w:insideH w:val="none" w:color="auto" w:sz="0" w:space="0"/>
            <w:insideV w:val="single" w:color="000001" w:sz="4" w:space="0"/>
          </w:tblBorders>
        </w:tblPrEx>
        <w:trPr>
          <w:trHeight w:val="397" w:hRule="atLeast"/>
          <w:tblHeader/>
          <w:jc w:val="center"/>
        </w:trPr>
        <w:tc>
          <w:tcPr>
            <w:tcW w:w="1561" w:type="dxa"/>
            <w:tcBorders>
              <w:top w:val="single" w:color="000001" w:sz="4" w:space="0"/>
              <w:left w:val="single" w:color="000001" w:sz="4" w:space="0"/>
              <w:right w:val="single" w:color="auto" w:sz="4" w:space="0"/>
            </w:tcBorders>
            <w:shd w:val="clear" w:color="auto" w:fill="C6D9F0" w:themeFill="text2" w:themeFillTint="33"/>
            <w:tcMar>
              <w:left w:w="10" w:type="dxa"/>
            </w:tcMar>
            <w:vAlign w:val="center"/>
          </w:tcPr>
          <w:p>
            <w:pPr>
              <w:widowControl/>
              <w:jc w:val="center"/>
              <w:textAlignment w:val="center"/>
              <w:rPr>
                <w:rFonts w:ascii="Times New Roman" w:hAnsi="Times New Roman"/>
                <w:b/>
                <w:szCs w:val="21"/>
              </w:rPr>
            </w:pPr>
            <w:r>
              <w:rPr>
                <w:rFonts w:ascii="Times New Roman" w:hAnsi="Times New Roman"/>
                <w:b/>
                <w:szCs w:val="21"/>
              </w:rPr>
              <w:t>毕业时间（年）</w:t>
            </w:r>
          </w:p>
        </w:tc>
        <w:tc>
          <w:tcPr>
            <w:tcW w:w="1269" w:type="dxa"/>
            <w:tcBorders>
              <w:top w:val="single" w:color="auto" w:sz="4" w:space="0"/>
              <w:left w:val="single" w:color="auto" w:sz="4" w:space="0"/>
              <w:right w:val="single" w:color="auto" w:sz="4" w:space="0"/>
            </w:tcBorders>
            <w:shd w:val="clear" w:color="auto" w:fill="C6D9F0" w:themeFill="text2" w:themeFillTint="33"/>
            <w:vAlign w:val="center"/>
          </w:tcPr>
          <w:p>
            <w:pPr>
              <w:jc w:val="center"/>
              <w:textAlignment w:val="center"/>
              <w:rPr>
                <w:rFonts w:ascii="Times New Roman" w:hAnsi="Times New Roman"/>
                <w:b/>
                <w:szCs w:val="21"/>
              </w:rPr>
            </w:pPr>
            <w:r>
              <w:rPr>
                <w:rFonts w:ascii="Times New Roman" w:hAnsi="Times New Roman"/>
                <w:b/>
                <w:szCs w:val="21"/>
              </w:rPr>
              <w:t>毕业生数（人）</w:t>
            </w:r>
          </w:p>
        </w:tc>
        <w:tc>
          <w:tcPr>
            <w:tcW w:w="1565" w:type="dxa"/>
            <w:tcBorders>
              <w:top w:val="single" w:color="auto" w:sz="4" w:space="0"/>
              <w:left w:val="single" w:color="auto" w:sz="4" w:space="0"/>
              <w:right w:val="single" w:color="auto" w:sz="4" w:space="0"/>
            </w:tcBorders>
            <w:shd w:val="clear" w:color="auto" w:fill="C6D9F0" w:themeFill="text2" w:themeFillTint="33"/>
            <w:vAlign w:val="center"/>
          </w:tcPr>
          <w:p>
            <w:pPr>
              <w:widowControl/>
              <w:jc w:val="center"/>
              <w:textAlignment w:val="center"/>
              <w:rPr>
                <w:rFonts w:ascii="Times New Roman" w:hAnsi="Times New Roman"/>
                <w:b/>
                <w:szCs w:val="21"/>
              </w:rPr>
            </w:pPr>
            <w:r>
              <w:rPr>
                <w:rFonts w:ascii="Times New Roman" w:hAnsi="Times New Roman"/>
                <w:b/>
                <w:szCs w:val="21"/>
              </w:rPr>
              <w:t>毕业生初次就业率（%）</w:t>
            </w:r>
          </w:p>
        </w:tc>
        <w:tc>
          <w:tcPr>
            <w:tcW w:w="1166" w:type="dxa"/>
            <w:tcBorders>
              <w:top w:val="single" w:color="000001" w:sz="4" w:space="0"/>
              <w:left w:val="single" w:color="auto" w:sz="4" w:space="0"/>
              <w:right w:val="single" w:color="000001" w:sz="4" w:space="0"/>
            </w:tcBorders>
            <w:shd w:val="clear" w:color="auto" w:fill="C6D9F0" w:themeFill="text2" w:themeFillTint="33"/>
            <w:tcMar>
              <w:left w:w="10" w:type="dxa"/>
            </w:tcMar>
            <w:vAlign w:val="center"/>
          </w:tcPr>
          <w:p>
            <w:pPr>
              <w:widowControl/>
              <w:jc w:val="center"/>
              <w:textAlignment w:val="center"/>
              <w:rPr>
                <w:rFonts w:ascii="Times New Roman" w:hAnsi="Times New Roman"/>
                <w:b/>
                <w:szCs w:val="21"/>
              </w:rPr>
            </w:pPr>
            <w:r>
              <w:rPr>
                <w:rFonts w:ascii="Times New Roman" w:hAnsi="Times New Roman"/>
                <w:b/>
                <w:szCs w:val="21"/>
              </w:rPr>
              <w:t>专业对口就业率（%）</w:t>
            </w:r>
          </w:p>
        </w:tc>
        <w:tc>
          <w:tcPr>
            <w:tcW w:w="1428" w:type="dxa"/>
            <w:tcBorders>
              <w:top w:val="single" w:color="000001" w:sz="4" w:space="0"/>
              <w:left w:val="single" w:color="auto" w:sz="4" w:space="0"/>
              <w:right w:val="single" w:color="000001" w:sz="4" w:space="0"/>
            </w:tcBorders>
            <w:shd w:val="clear" w:color="auto" w:fill="C6D9F0" w:themeFill="text2" w:themeFillTint="33"/>
            <w:tcMar>
              <w:left w:w="10" w:type="dxa"/>
            </w:tcMar>
            <w:vAlign w:val="center"/>
          </w:tcPr>
          <w:p>
            <w:pPr>
              <w:widowControl/>
              <w:jc w:val="center"/>
              <w:textAlignment w:val="center"/>
              <w:rPr>
                <w:rFonts w:ascii="Times New Roman" w:hAnsi="Times New Roman"/>
                <w:b/>
                <w:szCs w:val="21"/>
              </w:rPr>
            </w:pPr>
            <w:r>
              <w:rPr>
                <w:rFonts w:hint="eastAsia" w:ascii="Times New Roman" w:hAnsi="Times New Roman"/>
                <w:b/>
                <w:szCs w:val="21"/>
              </w:rPr>
              <w:t>初次就业起薪（元）</w:t>
            </w:r>
          </w:p>
        </w:tc>
        <w:tc>
          <w:tcPr>
            <w:tcW w:w="1289" w:type="dxa"/>
            <w:tcBorders>
              <w:top w:val="single" w:color="000001" w:sz="4" w:space="0"/>
              <w:left w:val="single" w:color="auto" w:sz="4" w:space="0"/>
              <w:right w:val="single" w:color="000001" w:sz="4" w:space="0"/>
            </w:tcBorders>
            <w:shd w:val="clear" w:color="auto" w:fill="C6D9F0" w:themeFill="text2" w:themeFillTint="33"/>
            <w:tcMar>
              <w:left w:w="10" w:type="dxa"/>
            </w:tcMar>
            <w:vAlign w:val="center"/>
          </w:tcPr>
          <w:p>
            <w:pPr>
              <w:widowControl/>
              <w:jc w:val="center"/>
              <w:textAlignment w:val="center"/>
              <w:rPr>
                <w:rFonts w:ascii="Times New Roman" w:hAnsi="Times New Roman"/>
                <w:b/>
                <w:szCs w:val="21"/>
              </w:rPr>
            </w:pPr>
            <w:r>
              <w:rPr>
                <w:rFonts w:hint="eastAsia" w:ascii="Times New Roman" w:hAnsi="Times New Roman"/>
                <w:b/>
                <w:szCs w:val="21"/>
              </w:rPr>
              <w:t>升学率</w:t>
            </w:r>
          </w:p>
          <w:p>
            <w:pPr>
              <w:widowControl/>
              <w:jc w:val="center"/>
              <w:textAlignment w:val="center"/>
              <w:rPr>
                <w:rFonts w:ascii="Times New Roman" w:hAnsi="Times New Roman"/>
                <w:b/>
                <w:szCs w:val="21"/>
              </w:rPr>
            </w:pPr>
            <w:r>
              <w:rPr>
                <w:rFonts w:hint="eastAsia" w:ascii="Times New Roman" w:hAnsi="Times New Roman"/>
                <w:b/>
                <w:szCs w:val="21"/>
              </w:rPr>
              <w:t>（%）</w:t>
            </w:r>
          </w:p>
        </w:tc>
      </w:tr>
      <w:tr>
        <w:tblPrEx>
          <w:tblBorders>
            <w:top w:val="single" w:color="000001" w:sz="4" w:space="0"/>
            <w:left w:val="single" w:color="000001" w:sz="4" w:space="0"/>
            <w:bottom w:val="none" w:color="auto" w:sz="0" w:space="0"/>
            <w:right w:val="single" w:color="000001" w:sz="4" w:space="0"/>
            <w:insideH w:val="none" w:color="auto" w:sz="0" w:space="0"/>
            <w:insideV w:val="single" w:color="000001" w:sz="4" w:space="0"/>
          </w:tblBorders>
          <w:tblCellMar>
            <w:top w:w="15" w:type="dxa"/>
            <w:left w:w="10" w:type="dxa"/>
            <w:bottom w:w="15" w:type="dxa"/>
            <w:right w:w="15" w:type="dxa"/>
          </w:tblCellMar>
        </w:tblPrEx>
        <w:trPr>
          <w:trHeight w:val="397" w:hRule="atLeast"/>
          <w:jc w:val="center"/>
        </w:trPr>
        <w:tc>
          <w:tcPr>
            <w:tcW w:w="1561" w:type="dxa"/>
            <w:tcBorders>
              <w:top w:val="single" w:color="000001" w:sz="4" w:space="0"/>
              <w:left w:val="single" w:color="000001" w:sz="4" w:space="0"/>
              <w:bottom w:val="single" w:color="000001" w:sz="4" w:space="0"/>
              <w:right w:val="single" w:color="000001" w:sz="4" w:space="0"/>
            </w:tcBorders>
            <w:tcMar>
              <w:left w:w="10" w:type="dxa"/>
            </w:tcMar>
            <w:vAlign w:val="center"/>
          </w:tcPr>
          <w:p>
            <w:pPr>
              <w:widowControl/>
              <w:jc w:val="center"/>
              <w:textAlignment w:val="center"/>
              <w:rPr>
                <w:rFonts w:ascii="Times New Roman" w:hAnsi="Times New Roman" w:eastAsia="宋体" w:cs="Times New Roman"/>
                <w:kern w:val="2"/>
                <w:sz w:val="21"/>
                <w:szCs w:val="21"/>
                <w:lang w:val="en-US" w:eastAsia="zh-CN" w:bidi="ar-SA"/>
              </w:rPr>
            </w:pPr>
            <w:r>
              <w:rPr>
                <w:rFonts w:hint="eastAsia" w:ascii="Times New Roman" w:hAnsi="Times New Roman"/>
                <w:szCs w:val="21"/>
              </w:rPr>
              <w:t>2020</w:t>
            </w:r>
          </w:p>
        </w:tc>
        <w:tc>
          <w:tcPr>
            <w:tcW w:w="1269" w:type="dxa"/>
            <w:tcBorders>
              <w:top w:val="single" w:color="000001" w:sz="4" w:space="0"/>
              <w:left w:val="single" w:color="000001" w:sz="4" w:space="0"/>
              <w:bottom w:val="single" w:color="000001" w:sz="4" w:space="0"/>
              <w:right w:val="single" w:color="000001" w:sz="4" w:space="0"/>
            </w:tcBorders>
            <w:vAlign w:val="center"/>
          </w:tcPr>
          <w:p>
            <w:pPr>
              <w:widowControl/>
              <w:jc w:val="center"/>
              <w:textAlignment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27</w:t>
            </w:r>
            <w:r>
              <w:rPr>
                <w:rFonts w:hint="default" w:ascii="Times New Roman" w:hAnsi="Times New Roman"/>
                <w:color w:val="000000" w:themeColor="text1"/>
                <w:szCs w:val="21"/>
                <w14:textFill>
                  <w14:solidFill>
                    <w14:schemeClr w14:val="tx1"/>
                  </w14:solidFill>
                </w14:textFill>
              </w:rPr>
              <w:t>8</w:t>
            </w:r>
          </w:p>
        </w:tc>
        <w:tc>
          <w:tcPr>
            <w:tcW w:w="1565" w:type="dxa"/>
            <w:tcBorders>
              <w:top w:val="single" w:color="000001" w:sz="4" w:space="0"/>
              <w:left w:val="single" w:color="000001" w:sz="4" w:space="0"/>
              <w:bottom w:val="single" w:color="000001" w:sz="4" w:space="0"/>
              <w:right w:val="single" w:color="000001" w:sz="4" w:space="0"/>
            </w:tcBorders>
            <w:vAlign w:val="center"/>
          </w:tcPr>
          <w:p>
            <w:pPr>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95.90</w:t>
            </w:r>
          </w:p>
        </w:tc>
        <w:tc>
          <w:tcPr>
            <w:tcW w:w="1166" w:type="dxa"/>
            <w:tcBorders>
              <w:top w:val="single" w:color="000001" w:sz="4" w:space="0"/>
              <w:left w:val="single" w:color="000001" w:sz="4" w:space="0"/>
              <w:bottom w:val="single" w:color="000001" w:sz="4" w:space="0"/>
              <w:right w:val="single" w:color="000001" w:sz="4" w:space="0"/>
            </w:tcBorders>
            <w:tcMar>
              <w:left w:w="10" w:type="dxa"/>
            </w:tcMar>
            <w:vAlign w:val="center"/>
          </w:tcPr>
          <w:p>
            <w:pPr>
              <w:jc w:val="center"/>
              <w:rPr>
                <w:rFonts w:ascii="Times New Roman" w:hAnsi="Times New Roman" w:eastAsia="宋体" w:cs="Times New Roman"/>
                <w:color w:val="FF0000"/>
                <w:kern w:val="2"/>
                <w:sz w:val="21"/>
                <w:szCs w:val="21"/>
                <w:lang w:val="en-US" w:eastAsia="zh-CN" w:bidi="ar-SA"/>
              </w:rPr>
            </w:pPr>
            <w:r>
              <w:rPr>
                <w:rFonts w:hint="eastAsia" w:ascii="Times New Roman" w:hAnsi="Times New Roman"/>
                <w:color w:val="000000" w:themeColor="text1"/>
                <w:szCs w:val="21"/>
                <w14:textFill>
                  <w14:solidFill>
                    <w14:schemeClr w14:val="tx1"/>
                  </w14:solidFill>
                </w14:textFill>
              </w:rPr>
              <w:t>94.50</w:t>
            </w:r>
          </w:p>
        </w:tc>
        <w:tc>
          <w:tcPr>
            <w:tcW w:w="1428" w:type="dxa"/>
            <w:tcBorders>
              <w:top w:val="single" w:color="000001" w:sz="4" w:space="0"/>
              <w:left w:val="single" w:color="000001" w:sz="4" w:space="0"/>
              <w:bottom w:val="single" w:color="000001" w:sz="4" w:space="0"/>
              <w:right w:val="single" w:color="000001" w:sz="4" w:space="0"/>
            </w:tcBorders>
            <w:tcMar>
              <w:left w:w="10" w:type="dxa"/>
            </w:tcMar>
            <w:vAlign w:val="center"/>
          </w:tcPr>
          <w:p>
            <w:pPr>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2200</w:t>
            </w:r>
          </w:p>
        </w:tc>
        <w:tc>
          <w:tcPr>
            <w:tcW w:w="1289" w:type="dxa"/>
            <w:tcBorders>
              <w:top w:val="single" w:color="000001" w:sz="4" w:space="0"/>
              <w:left w:val="single" w:color="000001" w:sz="4" w:space="0"/>
              <w:bottom w:val="single" w:color="000001" w:sz="4" w:space="0"/>
              <w:right w:val="single" w:color="000001" w:sz="4" w:space="0"/>
            </w:tcBorders>
            <w:tcMar>
              <w:left w:w="10" w:type="dxa"/>
            </w:tcMar>
            <w:vAlign w:val="center"/>
          </w:tcPr>
          <w:p>
            <w:pPr>
              <w:jc w:val="center"/>
              <w:rPr>
                <w:rFonts w:ascii="Times New Roman" w:hAnsi="Times New Roman" w:eastAsia="宋体" w:cs="Times New Roman"/>
                <w:color w:val="000000" w:themeColor="text1"/>
                <w:kern w:val="2"/>
                <w:sz w:val="21"/>
                <w:szCs w:val="21"/>
                <w:lang w:val="en-US" w:eastAsia="zh-CN" w:bidi="ar-SA"/>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60.00</w:t>
            </w:r>
          </w:p>
        </w:tc>
      </w:tr>
      <w:tr>
        <w:tblPrEx>
          <w:tblBorders>
            <w:top w:val="single" w:color="000001" w:sz="4" w:space="0"/>
            <w:left w:val="single" w:color="000001" w:sz="4" w:space="0"/>
            <w:bottom w:val="none" w:color="auto" w:sz="0" w:space="0"/>
            <w:right w:val="single" w:color="000001" w:sz="4" w:space="0"/>
            <w:insideH w:val="none" w:color="auto" w:sz="0" w:space="0"/>
            <w:insideV w:val="single" w:color="000001" w:sz="4" w:space="0"/>
          </w:tblBorders>
        </w:tblPrEx>
        <w:trPr>
          <w:trHeight w:val="397" w:hRule="atLeast"/>
          <w:jc w:val="center"/>
        </w:trPr>
        <w:tc>
          <w:tcPr>
            <w:tcW w:w="1561" w:type="dxa"/>
            <w:tcBorders>
              <w:top w:val="single" w:color="000001" w:sz="4" w:space="0"/>
              <w:left w:val="single" w:color="000001" w:sz="4" w:space="0"/>
              <w:bottom w:val="single" w:color="000001" w:sz="4" w:space="0"/>
              <w:right w:val="single" w:color="000001" w:sz="4" w:space="0"/>
            </w:tcBorders>
            <w:tcMar>
              <w:left w:w="10" w:type="dxa"/>
            </w:tcMar>
            <w:vAlign w:val="center"/>
          </w:tcPr>
          <w:p>
            <w:pPr>
              <w:widowControl/>
              <w:jc w:val="center"/>
              <w:textAlignment w:val="center"/>
              <w:rPr>
                <w:rFonts w:ascii="Times New Roman" w:hAnsi="Times New Roman"/>
                <w:szCs w:val="21"/>
              </w:rPr>
            </w:pPr>
            <w:r>
              <w:rPr>
                <w:rFonts w:hint="eastAsia" w:ascii="Times New Roman" w:hAnsi="Times New Roman"/>
                <w:szCs w:val="21"/>
              </w:rPr>
              <w:t>202</w:t>
            </w:r>
            <w:r>
              <w:rPr>
                <w:rFonts w:hint="default" w:ascii="Times New Roman" w:hAnsi="Times New Roman"/>
                <w:szCs w:val="21"/>
              </w:rPr>
              <w:t>1</w:t>
            </w:r>
          </w:p>
        </w:tc>
        <w:tc>
          <w:tcPr>
            <w:tcW w:w="1269" w:type="dxa"/>
            <w:tcBorders>
              <w:top w:val="single" w:color="000001" w:sz="4" w:space="0"/>
              <w:left w:val="single" w:color="000001" w:sz="4" w:space="0"/>
              <w:bottom w:val="single" w:color="000001" w:sz="4" w:space="0"/>
              <w:right w:val="single" w:color="000001" w:sz="4" w:space="0"/>
            </w:tcBorders>
            <w:vAlign w:val="center"/>
          </w:tcPr>
          <w:p>
            <w:pPr>
              <w:widowControl/>
              <w:jc w:val="center"/>
              <w:textAlignment w:val="center"/>
              <w:rPr>
                <w:rFonts w:ascii="Times New Roman" w:hAnsi="Times New Roman"/>
                <w:color w:val="000000" w:themeColor="text1"/>
                <w:szCs w:val="21"/>
                <w14:textFill>
                  <w14:solidFill>
                    <w14:schemeClr w14:val="tx1"/>
                  </w14:solidFill>
                </w14:textFill>
              </w:rPr>
            </w:pPr>
            <w:r>
              <w:rPr>
                <w:rFonts w:hint="default" w:ascii="Times New Roman" w:hAnsi="Times New Roman"/>
                <w:color w:val="000000" w:themeColor="text1"/>
                <w:szCs w:val="21"/>
                <w14:textFill>
                  <w14:solidFill>
                    <w14:schemeClr w14:val="tx1"/>
                  </w14:solidFill>
                </w14:textFill>
              </w:rPr>
              <w:t>365</w:t>
            </w:r>
          </w:p>
        </w:tc>
        <w:tc>
          <w:tcPr>
            <w:tcW w:w="1565" w:type="dxa"/>
            <w:tcBorders>
              <w:top w:val="single" w:color="000001" w:sz="4" w:space="0"/>
              <w:left w:val="single" w:color="000001" w:sz="4" w:space="0"/>
              <w:bottom w:val="single" w:color="000001" w:sz="4" w:space="0"/>
              <w:right w:val="single" w:color="000001" w:sz="4" w:space="0"/>
            </w:tcBorders>
            <w:vAlign w:val="center"/>
          </w:tcPr>
          <w:p>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95.90</w:t>
            </w:r>
          </w:p>
        </w:tc>
        <w:tc>
          <w:tcPr>
            <w:tcW w:w="1166" w:type="dxa"/>
            <w:tcBorders>
              <w:top w:val="single" w:color="000001" w:sz="4" w:space="0"/>
              <w:left w:val="single" w:color="000001" w:sz="4" w:space="0"/>
              <w:bottom w:val="single" w:color="000001" w:sz="4" w:space="0"/>
              <w:right w:val="single" w:color="000001" w:sz="4" w:space="0"/>
            </w:tcBorders>
            <w:tcMar>
              <w:left w:w="10" w:type="dxa"/>
            </w:tcMar>
            <w:vAlign w:val="center"/>
          </w:tcPr>
          <w:p>
            <w:pPr>
              <w:jc w:val="center"/>
              <w:rPr>
                <w:rFonts w:ascii="Times New Roman" w:hAnsi="Times New Roman"/>
                <w:color w:val="FF0000"/>
                <w:szCs w:val="21"/>
              </w:rPr>
            </w:pPr>
            <w:r>
              <w:rPr>
                <w:rFonts w:hint="default" w:ascii="Times New Roman" w:hAnsi="Times New Roman"/>
                <w:color w:val="000000" w:themeColor="text1"/>
                <w:szCs w:val="21"/>
                <w14:textFill>
                  <w14:solidFill>
                    <w14:schemeClr w14:val="tx1"/>
                  </w14:solidFill>
                </w14:textFill>
              </w:rPr>
              <w:t>95.00</w:t>
            </w:r>
          </w:p>
        </w:tc>
        <w:tc>
          <w:tcPr>
            <w:tcW w:w="1428" w:type="dxa"/>
            <w:tcBorders>
              <w:top w:val="single" w:color="000001" w:sz="4" w:space="0"/>
              <w:left w:val="single" w:color="000001" w:sz="4" w:space="0"/>
              <w:bottom w:val="single" w:color="000001" w:sz="4" w:space="0"/>
              <w:right w:val="single" w:color="000001" w:sz="4" w:space="0"/>
            </w:tcBorders>
            <w:tcMar>
              <w:left w:w="10" w:type="dxa"/>
            </w:tcMar>
            <w:vAlign w:val="center"/>
          </w:tcPr>
          <w:p>
            <w:pPr>
              <w:jc w:val="center"/>
              <w:rPr>
                <w:rFonts w:ascii="Times New Roman" w:hAnsi="Times New Roman"/>
                <w:color w:val="000000" w:themeColor="text1"/>
                <w:szCs w:val="21"/>
                <w14:textFill>
                  <w14:solidFill>
                    <w14:schemeClr w14:val="tx1"/>
                  </w14:solidFill>
                </w14:textFill>
              </w:rPr>
            </w:pPr>
            <w:r>
              <w:rPr>
                <w:rFonts w:hint="eastAsia" w:ascii="Times New Roman" w:hAnsi="Times New Roman"/>
                <w:color w:val="000000" w:themeColor="text1"/>
                <w:szCs w:val="21"/>
                <w14:textFill>
                  <w14:solidFill>
                    <w14:schemeClr w14:val="tx1"/>
                  </w14:solidFill>
                </w14:textFill>
              </w:rPr>
              <w:t>2200</w:t>
            </w:r>
          </w:p>
        </w:tc>
        <w:tc>
          <w:tcPr>
            <w:tcW w:w="1289" w:type="dxa"/>
            <w:tcBorders>
              <w:top w:val="single" w:color="000001" w:sz="4" w:space="0"/>
              <w:left w:val="single" w:color="000001" w:sz="4" w:space="0"/>
              <w:bottom w:val="single" w:color="000001" w:sz="4" w:space="0"/>
              <w:right w:val="single" w:color="000001" w:sz="4" w:space="0"/>
            </w:tcBorders>
            <w:tcMar>
              <w:left w:w="10" w:type="dxa"/>
            </w:tcMar>
            <w:vAlign w:val="center"/>
          </w:tcPr>
          <w:p>
            <w:pPr>
              <w:jc w:val="center"/>
              <w:rPr>
                <w:rFonts w:ascii="Times New Roman" w:hAnsi="Times New Roman"/>
                <w:color w:val="000000" w:themeColor="text1"/>
                <w:szCs w:val="21"/>
                <w14:textFill>
                  <w14:solidFill>
                    <w14:schemeClr w14:val="tx1"/>
                  </w14:solidFill>
                </w14:textFill>
              </w:rPr>
            </w:pPr>
            <w:r>
              <w:rPr>
                <w:rFonts w:hint="default" w:ascii="Times New Roman" w:hAnsi="Times New Roman"/>
                <w:color w:val="000000" w:themeColor="text1"/>
                <w:szCs w:val="21"/>
                <w14:textFill>
                  <w14:solidFill>
                    <w14:schemeClr w14:val="tx1"/>
                  </w14:solidFill>
                </w14:textFill>
              </w:rPr>
              <w:t>72.88</w:t>
            </w:r>
          </w:p>
        </w:tc>
      </w:tr>
    </w:tbl>
    <w:p>
      <w:pPr>
        <w:pStyle w:val="28"/>
        <w:ind w:firstLine="0"/>
        <w:rPr>
          <w:rFonts w:ascii="Times New Roman" w:hAnsi="Times New Roman" w:eastAsia="楷体"/>
          <w:bCs/>
          <w:color w:val="000000" w:themeColor="text1"/>
          <w:szCs w:val="28"/>
          <w14:textFill>
            <w14:solidFill>
              <w14:schemeClr w14:val="tx1"/>
            </w14:solidFill>
          </w14:textFill>
        </w:rPr>
      </w:pPr>
      <w:r>
        <w:rPr>
          <w:rFonts w:hint="eastAsia" w:ascii="Times New Roman" w:hAnsi="Times New Roman" w:eastAsia="楷体"/>
          <w:bCs/>
          <w:color w:val="000000" w:themeColor="text1"/>
          <w:szCs w:val="28"/>
          <w14:textFill>
            <w14:solidFill>
              <w14:schemeClr w14:val="tx1"/>
            </w14:solidFill>
          </w14:textFill>
        </w:rPr>
        <w:t>说明：因毕业生调研有效样本量不足3</w:t>
      </w:r>
      <w:r>
        <w:rPr>
          <w:rFonts w:ascii="Times New Roman" w:hAnsi="Times New Roman" w:eastAsia="楷体"/>
          <w:bCs/>
          <w:color w:val="000000" w:themeColor="text1"/>
          <w:szCs w:val="28"/>
          <w14:textFill>
            <w14:solidFill>
              <w14:schemeClr w14:val="tx1"/>
            </w14:solidFill>
          </w14:textFill>
        </w:rPr>
        <w:t>0</w:t>
      </w:r>
      <w:r>
        <w:rPr>
          <w:rFonts w:hint="eastAsia" w:ascii="Times New Roman" w:hAnsi="Times New Roman" w:eastAsia="楷体"/>
          <w:bCs/>
          <w:color w:val="000000" w:themeColor="text1"/>
          <w:szCs w:val="28"/>
          <w14:textFill>
            <w14:solidFill>
              <w14:schemeClr w14:val="tx1"/>
            </w14:solidFill>
          </w14:textFill>
        </w:rPr>
        <w:t>，以下统计结果仅供参考。</w:t>
      </w:r>
    </w:p>
    <w:p>
      <w:pPr>
        <w:pStyle w:val="28"/>
        <w:rPr>
          <w:rFonts w:ascii="Times New Roman" w:hAnsi="Times New Roman"/>
          <w:b/>
          <w:bCs/>
          <w:color w:val="FF0000"/>
          <w:sz w:val="28"/>
          <w:szCs w:val="28"/>
        </w:rPr>
      </w:pPr>
      <w:r>
        <w:rPr>
          <w:rFonts w:ascii="Times New Roman" w:hAnsi="Times New Roman"/>
          <w:b/>
          <w:bCs/>
          <w:color w:val="000000" w:themeColor="text1"/>
          <w:sz w:val="28"/>
          <w:szCs w:val="28"/>
          <w14:textFill>
            <w14:solidFill>
              <w14:schemeClr w14:val="tx1"/>
            </w14:solidFill>
          </w14:textFill>
        </w:rPr>
        <w:t>2</w:t>
      </w:r>
      <w:r>
        <w:rPr>
          <w:rFonts w:hint="eastAsia" w:ascii="Times New Roman" w:hAnsi="Times New Roman"/>
          <w:b/>
          <w:bCs/>
          <w:color w:val="000000" w:themeColor="text1"/>
          <w:sz w:val="28"/>
          <w:szCs w:val="28"/>
          <w14:textFill>
            <w14:solidFill>
              <w14:schemeClr w14:val="tx1"/>
            </w14:solidFill>
          </w14:textFill>
        </w:rPr>
        <w:t>.就业单位</w:t>
      </w:r>
    </w:p>
    <w:p>
      <w:pPr>
        <w:pStyle w:val="28"/>
        <w:spacing w:line="300" w:lineRule="auto"/>
        <w:ind w:firstLine="480" w:firstLineChars="200"/>
        <w:rPr>
          <w:rFonts w:ascii="Times New Roman" w:hAnsi="Times New Roman" w:cs="Times New Roman"/>
          <w:color w:val="C00000"/>
          <w:szCs w:val="28"/>
        </w:rPr>
      </w:pPr>
      <w:r>
        <w:rPr>
          <w:rFonts w:hint="eastAsia" w:ascii="Times New Roman" w:hAnsi="Times New Roman" w:cs="Times New Roman"/>
          <w:szCs w:val="28"/>
          <w:lang w:val="en-US" w:eastAsia="zh-Hans"/>
        </w:rPr>
        <w:t>近两届</w:t>
      </w:r>
      <w:r>
        <w:rPr>
          <w:rFonts w:ascii="Times New Roman" w:hAnsi="Times New Roman" w:cs="Times New Roman"/>
          <w:szCs w:val="28"/>
        </w:rPr>
        <w:t>毕业生</w:t>
      </w:r>
      <w:r>
        <w:rPr>
          <w:rFonts w:hint="eastAsia" w:ascii="Times New Roman" w:hAnsi="Times New Roman" w:cs="Times New Roman"/>
          <w:szCs w:val="28"/>
        </w:rPr>
        <w:t>中，国有企业、事业单位就业占</w:t>
      </w:r>
      <w:r>
        <w:rPr>
          <w:rFonts w:ascii="Times New Roman" w:hAnsi="Times New Roman" w:cs="Times New Roman"/>
          <w:szCs w:val="28"/>
        </w:rPr>
        <w:t>75</w:t>
      </w:r>
      <w:r>
        <w:rPr>
          <w:rFonts w:hint="eastAsia" w:ascii="Times New Roman" w:hAnsi="Times New Roman" w:cs="Times New Roman"/>
          <w:szCs w:val="28"/>
        </w:rPr>
        <w:t>%，</w:t>
      </w:r>
      <w:r>
        <w:rPr>
          <w:rFonts w:ascii="Times New Roman" w:hAnsi="Times New Roman" w:cs="Times New Roman"/>
          <w:szCs w:val="28"/>
        </w:rPr>
        <w:t>民营企业就业</w:t>
      </w:r>
      <w:r>
        <w:rPr>
          <w:rFonts w:hint="eastAsia" w:ascii="Times New Roman" w:hAnsi="Times New Roman" w:cs="Times New Roman"/>
          <w:szCs w:val="28"/>
        </w:rPr>
        <w:t>的占</w:t>
      </w:r>
      <w:r>
        <w:rPr>
          <w:rFonts w:ascii="Times New Roman" w:hAnsi="Times New Roman" w:cs="Times New Roman"/>
          <w:szCs w:val="28"/>
        </w:rPr>
        <w:t>25</w:t>
      </w:r>
      <w:r>
        <w:rPr>
          <w:rFonts w:hint="eastAsia" w:ascii="Times New Roman" w:hAnsi="Times New Roman" w:cs="Times New Roman"/>
          <w:szCs w:val="28"/>
        </w:rPr>
        <w:t>%。</w:t>
      </w:r>
      <w:r>
        <w:rPr>
          <w:rFonts w:ascii="Times New Roman" w:hAnsi="Times New Roman" w:cs="Times New Roman"/>
          <w:szCs w:val="28"/>
        </w:rPr>
        <w:t>就业单位性质统计见图2-3。</w:t>
      </w:r>
    </w:p>
    <w:p>
      <w:pPr>
        <w:pStyle w:val="28"/>
        <w:ind w:firstLine="0"/>
        <w:jc w:val="center"/>
        <w:rPr>
          <w:rFonts w:ascii="Times New Roman" w:hAnsi="Times New Roman" w:cs="Times New Roman"/>
          <w:b/>
          <w:color w:val="000000"/>
        </w:rPr>
      </w:pPr>
      <w:r>
        <w:rPr>
          <w:rFonts w:ascii="Times New Roman" w:hAnsi="Times New Roman"/>
        </w:rPr>
        <w:drawing>
          <wp:inline distT="0" distB="0" distL="114300" distR="114300">
            <wp:extent cx="5087620" cy="1966595"/>
            <wp:effectExtent l="0" t="0" r="17780" b="14605"/>
            <wp:docPr id="31" name="图表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hint="eastAsia" w:ascii="Times New Roman" w:hAnsi="Times New Roman" w:cs="Times New Roman"/>
          <w:b/>
          <w:color w:val="000000" w:themeColor="text1"/>
          <w:kern w:val="2"/>
          <w:sz w:val="21"/>
          <w:szCs w:val="21"/>
          <w14:textFill>
            <w14:solidFill>
              <w14:schemeClr w14:val="tx1"/>
            </w14:solidFill>
          </w14:textFill>
        </w:rPr>
        <w:t>图</w:t>
      </w:r>
      <w:r>
        <w:rPr>
          <w:rFonts w:ascii="Times New Roman" w:hAnsi="Times New Roman" w:cs="Times New Roman"/>
          <w:b/>
          <w:color w:val="000000" w:themeColor="text1"/>
          <w:kern w:val="2"/>
          <w:sz w:val="21"/>
          <w:szCs w:val="21"/>
          <w14:textFill>
            <w14:solidFill>
              <w14:schemeClr w14:val="tx1"/>
            </w14:solidFill>
          </w14:textFill>
        </w:rPr>
        <w:t xml:space="preserve">2-3  </w:t>
      </w:r>
      <w:r>
        <w:rPr>
          <w:rFonts w:hint="eastAsia" w:ascii="Times New Roman" w:hAnsi="Times New Roman" w:cs="Times New Roman"/>
          <w:b/>
          <w:color w:val="000000" w:themeColor="text1"/>
          <w:kern w:val="2"/>
          <w:sz w:val="21"/>
          <w:szCs w:val="21"/>
          <w:lang w:val="en-US" w:eastAsia="zh-Hans"/>
          <w14:textFill>
            <w14:solidFill>
              <w14:schemeClr w14:val="tx1"/>
            </w14:solidFill>
          </w14:textFill>
        </w:rPr>
        <w:t>近两届</w:t>
      </w:r>
      <w:r>
        <w:rPr>
          <w:rFonts w:ascii="Times New Roman" w:hAnsi="Times New Roman" w:cs="Times New Roman"/>
          <w:b/>
          <w:color w:val="000000" w:themeColor="text1"/>
          <w:kern w:val="2"/>
          <w:sz w:val="21"/>
          <w:szCs w:val="21"/>
          <w14:textFill>
            <w14:solidFill>
              <w14:schemeClr w14:val="tx1"/>
            </w14:solidFill>
          </w14:textFill>
        </w:rPr>
        <w:t>毕业生就业单位性质统计</w:t>
      </w:r>
    </w:p>
    <w:p>
      <w:pPr>
        <w:pStyle w:val="34"/>
        <w:ind w:firstLine="562"/>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3.就业产业</w:t>
      </w:r>
    </w:p>
    <w:p>
      <w:pPr>
        <w:pStyle w:val="28"/>
        <w:spacing w:line="300" w:lineRule="auto"/>
        <w:ind w:firstLine="480" w:firstLineChars="200"/>
        <w:rPr>
          <w:rFonts w:ascii="Times New Roman" w:hAnsi="Times New Roman" w:cs="Times New Roman"/>
          <w:szCs w:val="28"/>
        </w:rPr>
      </w:pPr>
      <w:r>
        <w:rPr>
          <w:rFonts w:ascii="Times New Roman" w:hAnsi="Times New Roman" w:cs="Times New Roman"/>
          <w:szCs w:val="28"/>
        </w:rPr>
        <w:t>201</w:t>
      </w:r>
      <w:r>
        <w:rPr>
          <w:rFonts w:hint="eastAsia" w:ascii="Times New Roman" w:hAnsi="Times New Roman" w:cs="Times New Roman"/>
          <w:szCs w:val="28"/>
        </w:rPr>
        <w:t>9</w:t>
      </w:r>
      <w:r>
        <w:rPr>
          <w:rFonts w:ascii="Times New Roman" w:hAnsi="Times New Roman" w:cs="Times New Roman"/>
          <w:szCs w:val="28"/>
        </w:rPr>
        <w:t>届及20</w:t>
      </w:r>
      <w:r>
        <w:rPr>
          <w:rFonts w:hint="eastAsia" w:ascii="Times New Roman" w:hAnsi="Times New Roman" w:cs="Times New Roman"/>
          <w:szCs w:val="28"/>
        </w:rPr>
        <w:t>20</w:t>
      </w:r>
      <w:r>
        <w:rPr>
          <w:rFonts w:ascii="Times New Roman" w:hAnsi="Times New Roman" w:cs="Times New Roman"/>
          <w:szCs w:val="28"/>
        </w:rPr>
        <w:t>届毕业学生</w:t>
      </w:r>
      <w:r>
        <w:rPr>
          <w:rFonts w:hint="eastAsia" w:ascii="Times New Roman" w:hAnsi="Times New Roman" w:cs="Times New Roman"/>
          <w:szCs w:val="28"/>
        </w:rPr>
        <w:t>三大</w:t>
      </w:r>
      <w:r>
        <w:rPr>
          <w:rFonts w:ascii="Times New Roman" w:hAnsi="Times New Roman" w:cs="Times New Roman"/>
          <w:szCs w:val="28"/>
        </w:rPr>
        <w:t>产业就业</w:t>
      </w:r>
      <w:r>
        <w:rPr>
          <w:rFonts w:hint="eastAsia" w:ascii="Times New Roman" w:hAnsi="Times New Roman" w:cs="Times New Roman"/>
          <w:szCs w:val="28"/>
        </w:rPr>
        <w:t>比例</w:t>
      </w:r>
      <w:r>
        <w:rPr>
          <w:rFonts w:hint="eastAsia" w:ascii="Times New Roman" w:hAnsi="Times New Roman" w:cs="Times New Roman"/>
          <w:szCs w:val="28"/>
          <w:lang w:val="en-US" w:eastAsia="zh-Hans"/>
        </w:rPr>
        <w:t>差距较大</w:t>
      </w:r>
      <w:r>
        <w:rPr>
          <w:rFonts w:hint="eastAsia" w:ascii="Times New Roman" w:hAnsi="Times New Roman" w:cs="Times New Roman"/>
          <w:szCs w:val="28"/>
        </w:rPr>
        <w:t>，分别为</w:t>
      </w:r>
      <w:r>
        <w:rPr>
          <w:rFonts w:hint="eastAsia" w:ascii="Times New Roman" w:hAnsi="Times New Roman" w:cs="Times New Roman"/>
          <w:szCs w:val="28"/>
          <w:lang w:val="en-US" w:eastAsia="zh-Hans"/>
        </w:rPr>
        <w:t>第一产业</w:t>
      </w:r>
      <w:r>
        <w:rPr>
          <w:rFonts w:hint="default" w:ascii="Times New Roman" w:hAnsi="Times New Roman" w:cs="Times New Roman"/>
          <w:szCs w:val="28"/>
        </w:rPr>
        <w:t>25</w:t>
      </w:r>
      <w:r>
        <w:rPr>
          <w:rFonts w:hint="eastAsia" w:ascii="Times New Roman" w:hAnsi="Times New Roman" w:cs="Times New Roman"/>
          <w:szCs w:val="28"/>
        </w:rPr>
        <w:t>%、</w:t>
      </w:r>
      <w:r>
        <w:rPr>
          <w:rFonts w:hint="eastAsia" w:ascii="Times New Roman" w:hAnsi="Times New Roman" w:cs="Times New Roman"/>
          <w:szCs w:val="28"/>
          <w:lang w:val="en-US" w:eastAsia="zh-Hans"/>
        </w:rPr>
        <w:t>第三产业</w:t>
      </w:r>
      <w:r>
        <w:rPr>
          <w:rFonts w:hint="default" w:ascii="Times New Roman" w:hAnsi="Times New Roman" w:cs="Times New Roman"/>
          <w:szCs w:val="28"/>
        </w:rPr>
        <w:t>75</w:t>
      </w:r>
      <w:r>
        <w:rPr>
          <w:rFonts w:ascii="Times New Roman" w:hAnsi="Times New Roman" w:cs="Times New Roman"/>
          <w:szCs w:val="28"/>
        </w:rPr>
        <w:t>.00</w:t>
      </w:r>
      <w:r>
        <w:rPr>
          <w:rFonts w:hint="eastAsia" w:ascii="Times New Roman" w:hAnsi="Times New Roman" w:cs="Times New Roman"/>
          <w:szCs w:val="28"/>
        </w:rPr>
        <w:t>%</w:t>
      </w:r>
      <w:r>
        <w:rPr>
          <w:rFonts w:hint="eastAsia" w:ascii="Times New Roman" w:hAnsi="Times New Roman" w:cs="Times New Roman"/>
          <w:szCs w:val="28"/>
          <w:lang w:eastAsia="zh-Hans"/>
        </w:rPr>
        <w:t>、</w:t>
      </w:r>
      <w:r>
        <w:rPr>
          <w:rFonts w:hint="eastAsia" w:ascii="Times New Roman" w:hAnsi="Times New Roman" w:cs="Times New Roman"/>
          <w:szCs w:val="28"/>
          <w:lang w:val="en-US" w:eastAsia="zh-Hans"/>
        </w:rPr>
        <w:t>无第二产业就业</w:t>
      </w:r>
      <w:r>
        <w:rPr>
          <w:rFonts w:ascii="Times New Roman" w:hAnsi="Times New Roman" w:cs="Times New Roman"/>
          <w:szCs w:val="28"/>
        </w:rPr>
        <w:t>。</w:t>
      </w:r>
    </w:p>
    <w:p>
      <w:pPr>
        <w:pStyle w:val="34"/>
        <w:ind w:firstLine="562"/>
        <w:rPr>
          <w:rFonts w:ascii="Times New Roman" w:hAnsi="Times New Roman" w:cs="Times New Roman"/>
          <w:b/>
          <w:color w:val="000000" w:themeColor="text1"/>
          <w14:textFill>
            <w14:solidFill>
              <w14:schemeClr w14:val="tx1"/>
            </w14:solidFill>
          </w14:textFill>
        </w:rPr>
      </w:pPr>
      <w:r>
        <w:rPr>
          <w:rFonts w:ascii="Times New Roman" w:hAnsi="Times New Roman" w:cs="Times New Roman"/>
          <w:b/>
          <w:color w:val="000000" w:themeColor="text1"/>
          <w14:textFill>
            <w14:solidFill>
              <w14:schemeClr w14:val="tx1"/>
            </w14:solidFill>
          </w14:textFill>
        </w:rPr>
        <w:t>4.升学情况</w:t>
      </w:r>
    </w:p>
    <w:p>
      <w:pPr>
        <w:pStyle w:val="28"/>
        <w:spacing w:line="300" w:lineRule="auto"/>
        <w:ind w:firstLine="480" w:firstLineChars="200"/>
        <w:rPr>
          <w:rFonts w:ascii="Times New Roman" w:hAnsi="Times New Roman" w:cs="Times New Roman"/>
          <w:szCs w:val="28"/>
        </w:rPr>
      </w:pPr>
      <w:r>
        <w:rPr>
          <w:rFonts w:ascii="Times New Roman" w:hAnsi="Times New Roman" w:cs="Times New Roman"/>
          <w:szCs w:val="28"/>
        </w:rPr>
        <w:t>20</w:t>
      </w:r>
      <w:r>
        <w:rPr>
          <w:rFonts w:hint="eastAsia" w:ascii="Times New Roman" w:hAnsi="Times New Roman" w:cs="Times New Roman"/>
          <w:szCs w:val="28"/>
        </w:rPr>
        <w:t>2</w:t>
      </w:r>
      <w:r>
        <w:rPr>
          <w:rFonts w:hint="eastAsia" w:ascii="Times New Roman" w:hAnsi="Times New Roman" w:cs="Times New Roman"/>
          <w:szCs w:val="28"/>
          <w:lang w:val="en-US" w:eastAsia="zh-CN"/>
        </w:rPr>
        <w:t>1</w:t>
      </w:r>
      <w:r>
        <w:rPr>
          <w:rFonts w:ascii="Times New Roman" w:hAnsi="Times New Roman" w:cs="Times New Roman"/>
          <w:szCs w:val="28"/>
        </w:rPr>
        <w:t>届毕业生</w:t>
      </w:r>
      <w:r>
        <w:rPr>
          <w:rFonts w:hint="eastAsia" w:ascii="Times New Roman" w:hAnsi="Times New Roman" w:cs="Times New Roman"/>
          <w:szCs w:val="28"/>
        </w:rPr>
        <w:t>中</w:t>
      </w:r>
      <w:r>
        <w:rPr>
          <w:rFonts w:hint="default" w:ascii="Times New Roman" w:hAnsi="Times New Roman" w:cs="Times New Roman"/>
          <w:szCs w:val="28"/>
        </w:rPr>
        <w:t>72.88</w:t>
      </w:r>
      <w:r>
        <w:rPr>
          <w:rFonts w:hint="eastAsia" w:ascii="Times New Roman" w:hAnsi="Times New Roman" w:cs="Times New Roman"/>
          <w:szCs w:val="28"/>
        </w:rPr>
        <w:t>%</w:t>
      </w:r>
      <w:r>
        <w:rPr>
          <w:rFonts w:ascii="Times New Roman" w:hAnsi="Times New Roman" w:cs="Times New Roman"/>
          <w:szCs w:val="28"/>
        </w:rPr>
        <w:t>通过全省对口单招</w:t>
      </w:r>
      <w:r>
        <w:rPr>
          <w:rFonts w:hint="eastAsia" w:ascii="Times New Roman" w:hAnsi="Times New Roman" w:cs="Times New Roman"/>
          <w:szCs w:val="28"/>
          <w:lang w:val="en-US" w:eastAsia="zh-Hans"/>
        </w:rPr>
        <w:t>及其他升学方式</w:t>
      </w:r>
      <w:r>
        <w:rPr>
          <w:rFonts w:ascii="Times New Roman" w:hAnsi="Times New Roman" w:cs="Times New Roman"/>
          <w:szCs w:val="28"/>
        </w:rPr>
        <w:t>升入高等学校继续学习，较2020年增长</w:t>
      </w:r>
      <w:r>
        <w:rPr>
          <w:rFonts w:hint="default" w:ascii="Times New Roman" w:hAnsi="Times New Roman" w:cs="Times New Roman"/>
          <w:szCs w:val="28"/>
        </w:rPr>
        <w:t>12.88</w:t>
      </w:r>
      <w:r>
        <w:rPr>
          <w:rFonts w:ascii="Times New Roman" w:hAnsi="Times New Roman" w:cs="Times New Roman"/>
          <w:szCs w:val="28"/>
        </w:rPr>
        <w:t>%。</w:t>
      </w:r>
    </w:p>
    <w:p>
      <w:pPr>
        <w:pStyle w:val="5"/>
      </w:pPr>
      <w:bookmarkStart w:id="53" w:name="_Toc10607"/>
      <w:bookmarkStart w:id="54" w:name="_Toc61256678"/>
      <w:r>
        <w:rPr>
          <w:rFonts w:hint="eastAsia"/>
        </w:rPr>
        <w:t>（五）</w:t>
      </w:r>
      <w:r>
        <w:t>职业发展</w:t>
      </w:r>
      <w:bookmarkEnd w:id="53"/>
      <w:bookmarkEnd w:id="54"/>
    </w:p>
    <w:p>
      <w:pPr>
        <w:spacing w:line="300" w:lineRule="auto"/>
        <w:ind w:firstLine="470" w:firstLineChars="196"/>
        <w:jc w:val="left"/>
        <w:rPr>
          <w:rFonts w:ascii="Times New Roman" w:hAnsi="Times New Roman"/>
          <w:color w:val="000000"/>
          <w:sz w:val="24"/>
        </w:rPr>
      </w:pPr>
      <w:r>
        <w:rPr>
          <w:rFonts w:hint="eastAsia" w:ascii="Times New Roman" w:hAnsi="Times New Roman" w:cs="黑体"/>
          <w:sz w:val="24"/>
          <w:szCs w:val="28"/>
        </w:rPr>
        <w:t>学校开设职业生涯方面的课程，提供职业生涯设计、职业道德和法律、面试辅导，每学期还开设相关方面的讲座，邀请企业技术人员、优秀毕业生到校开设讲座，使其了解行业企业发展现状，未来的出路及规划。组织学生顶岗实践，工学交替，帮助学生向“准职业人”角色转换，从而更好地适应就业单位的要求。</w:t>
      </w:r>
      <w:r>
        <w:rPr>
          <w:rFonts w:ascii="Times New Roman" w:hAnsi="Times New Roman"/>
          <w:sz w:val="24"/>
          <w:szCs w:val="28"/>
        </w:rPr>
        <w:t>利</w:t>
      </w:r>
      <w:r>
        <w:rPr>
          <w:rFonts w:hint="eastAsia" w:ascii="Times New Roman" w:hAnsi="Times New Roman" w:cs="黑体"/>
          <w:sz w:val="24"/>
          <w:szCs w:val="28"/>
        </w:rPr>
        <w:t>用“双创活动周”活动，邀请优秀企业家、创业者和校友以讲座、论坛、互动等形式组织特色、品牌讲堂，激发学生的创新创业思维，启发引导学生探索创业之路。</w:t>
      </w:r>
    </w:p>
    <w:p>
      <w:pPr>
        <w:pStyle w:val="4"/>
        <w:spacing w:before="312" w:after="156"/>
        <w:rPr>
          <w:rFonts w:ascii="Times New Roman" w:hAnsi="Times New Roman"/>
        </w:rPr>
      </w:pPr>
      <w:bookmarkStart w:id="55" w:name="_Toc61256679"/>
      <w:bookmarkStart w:id="56" w:name="_Toc9162"/>
      <w:r>
        <w:rPr>
          <w:rFonts w:ascii="Times New Roman" w:hAnsi="Times New Roman"/>
        </w:rPr>
        <w:t>三、质量保障措施</w:t>
      </w:r>
      <w:bookmarkEnd w:id="55"/>
      <w:bookmarkEnd w:id="56"/>
    </w:p>
    <w:p>
      <w:pPr>
        <w:pStyle w:val="5"/>
      </w:pPr>
      <w:bookmarkStart w:id="57" w:name="_Toc61256680"/>
      <w:bookmarkStart w:id="58" w:name="_Toc7698"/>
      <w:r>
        <w:t>（一）专业动态调整</w:t>
      </w:r>
      <w:bookmarkEnd w:id="57"/>
      <w:bookmarkEnd w:id="58"/>
    </w:p>
    <w:p>
      <w:pPr>
        <w:pStyle w:val="28"/>
        <w:spacing w:line="300" w:lineRule="auto"/>
        <w:ind w:firstLine="480" w:firstLineChars="200"/>
        <w:rPr>
          <w:rFonts w:ascii="Times New Roman" w:hAnsi="Times New Roman" w:cs="Times New Roman"/>
          <w:szCs w:val="28"/>
        </w:rPr>
      </w:pPr>
      <w:r>
        <w:rPr>
          <w:rFonts w:hint="eastAsia" w:ascii="Times New Roman" w:hAnsi="Times New Roman" w:cs="Times New Roman"/>
          <w:szCs w:val="28"/>
        </w:rPr>
        <w:t>学校根据地方经济发展和市场需求，着力做强化工、机电工程、电子信息类专业；做精医学护理、汽车维修类专业</w:t>
      </w:r>
      <w:r>
        <w:rPr>
          <w:rFonts w:hint="eastAsia" w:ascii="Times New Roman" w:hAnsi="Times New Roman" w:cs="Times New Roman"/>
          <w:szCs w:val="28"/>
          <w:lang w:eastAsia="zh-CN"/>
        </w:rPr>
        <w:t>，</w:t>
      </w:r>
      <w:r>
        <w:rPr>
          <w:rFonts w:hint="eastAsia" w:ascii="Times New Roman" w:hAnsi="Times New Roman" w:cs="Times New Roman"/>
          <w:szCs w:val="28"/>
        </w:rPr>
        <w:t>不断调整优化专业设置，进行专业建设。按照“两符合两考虑”原则对专业进行动态调整，即专业的调整需要符合学校的整体专业布局、符合区域经济社会发展对各类人才的可持续需求，考虑本地其他同类学校专业设置的影响、考虑学校专业师资队伍、实践教学条件的配套。定期开展人才需求调研活动，及时调整开办专业人才培养方案，紧密围绕人才培养方案，调整专业设置结构、科学地设置课程体系，在加强专业技能培养同时，夯实专业基础，提高学生就业竞争力与可持续发展能力。目前学校开设了</w:t>
      </w:r>
      <w:r>
        <w:rPr>
          <w:rFonts w:hint="eastAsia" w:ascii="Times New Roman" w:hAnsi="Times New Roman" w:eastAsia="宋体" w:cs="Times New Roman"/>
          <w:b w:val="0"/>
          <w:bCs w:val="0"/>
          <w:i w:val="0"/>
          <w:color w:val="auto"/>
          <w:kern w:val="2"/>
          <w:sz w:val="24"/>
          <w:szCs w:val="28"/>
          <w:u w:val="none"/>
          <w:lang w:val="en-US" w:eastAsia="zh-CN" w:bidi="ar"/>
        </w:rPr>
        <w:t>护理</w:t>
      </w:r>
      <w:r>
        <w:rPr>
          <w:rFonts w:hint="eastAsia" w:ascii="Times New Roman" w:hAnsi="Times New Roman" w:cs="Times New Roman"/>
          <w:b w:val="0"/>
          <w:bCs w:val="0"/>
          <w:i w:val="0"/>
          <w:color w:val="auto"/>
          <w:kern w:val="2"/>
          <w:sz w:val="24"/>
          <w:szCs w:val="28"/>
          <w:u w:val="none"/>
          <w:lang w:val="en-US" w:eastAsia="zh-CN" w:bidi="ar"/>
        </w:rPr>
        <w:t>、</w:t>
      </w:r>
      <w:r>
        <w:rPr>
          <w:rFonts w:hint="eastAsia" w:ascii="Times New Roman" w:hAnsi="Times New Roman" w:eastAsia="宋体" w:cs="Times New Roman"/>
          <w:b w:val="0"/>
          <w:bCs w:val="0"/>
          <w:i w:val="0"/>
          <w:color w:val="auto"/>
          <w:kern w:val="2"/>
          <w:sz w:val="24"/>
          <w:szCs w:val="28"/>
          <w:u w:val="none"/>
          <w:lang w:val="en-US" w:eastAsia="zh-CN" w:bidi="ar"/>
        </w:rPr>
        <w:t>机电技术应用</w:t>
      </w:r>
      <w:r>
        <w:rPr>
          <w:rFonts w:hint="eastAsia" w:ascii="Times New Roman" w:hAnsi="Times New Roman" w:cs="Times New Roman"/>
          <w:b w:val="0"/>
          <w:bCs w:val="0"/>
          <w:i w:val="0"/>
          <w:color w:val="auto"/>
          <w:kern w:val="2"/>
          <w:sz w:val="24"/>
          <w:szCs w:val="28"/>
          <w:u w:val="none"/>
          <w:lang w:val="en-US" w:eastAsia="zh-CN" w:bidi="ar"/>
        </w:rPr>
        <w:t>、</w:t>
      </w:r>
      <w:r>
        <w:rPr>
          <w:rFonts w:hint="eastAsia" w:ascii="Times New Roman" w:hAnsi="Times New Roman" w:eastAsia="宋体" w:cs="Times New Roman"/>
          <w:b w:val="0"/>
          <w:bCs w:val="0"/>
          <w:i w:val="0"/>
          <w:color w:val="auto"/>
          <w:kern w:val="2"/>
          <w:sz w:val="24"/>
          <w:szCs w:val="28"/>
          <w:u w:val="none"/>
          <w:lang w:val="en-US" w:eastAsia="zh-CN" w:bidi="ar"/>
        </w:rPr>
        <w:t>计算机网络技术</w:t>
      </w:r>
      <w:r>
        <w:rPr>
          <w:rFonts w:hint="eastAsia" w:ascii="Times New Roman" w:hAnsi="Times New Roman" w:cs="Times New Roman"/>
          <w:szCs w:val="28"/>
        </w:rPr>
        <w:t>等</w:t>
      </w:r>
      <w:r>
        <w:rPr>
          <w:rFonts w:hint="eastAsia" w:ascii="Times New Roman" w:hAnsi="Times New Roman" w:cs="Times New Roman"/>
          <w:szCs w:val="28"/>
          <w:lang w:val="en-US" w:eastAsia="zh-CN"/>
        </w:rPr>
        <w:t>12</w:t>
      </w:r>
      <w:r>
        <w:rPr>
          <w:rFonts w:hint="eastAsia" w:ascii="Times New Roman" w:hAnsi="Times New Roman" w:cs="Times New Roman"/>
          <w:szCs w:val="28"/>
        </w:rPr>
        <w:t>个专业。</w:t>
      </w:r>
    </w:p>
    <w:p>
      <w:pPr>
        <w:pStyle w:val="5"/>
        <w:rPr>
          <w:rFonts w:ascii="Times New Roman" w:hAnsi="Times New Roman"/>
        </w:rPr>
      </w:pPr>
      <w:bookmarkStart w:id="59" w:name="_Toc61256681"/>
      <w:bookmarkStart w:id="60" w:name="_Toc29342"/>
      <w:r>
        <w:rPr>
          <w:rFonts w:ascii="Times New Roman" w:hAnsi="Times New Roman"/>
        </w:rPr>
        <w:t>（二）教育教学改革</w:t>
      </w:r>
      <w:bookmarkEnd w:id="59"/>
      <w:bookmarkEnd w:id="60"/>
    </w:p>
    <w:p>
      <w:pPr>
        <w:pStyle w:val="34"/>
        <w:spacing w:line="300" w:lineRule="auto"/>
        <w:ind w:firstLine="562"/>
        <w:rPr>
          <w:rFonts w:ascii="Times New Roman" w:hAnsi="Times New Roman" w:cs="Times New Roman"/>
          <w:b/>
        </w:rPr>
      </w:pPr>
      <w:r>
        <w:rPr>
          <w:rFonts w:ascii="Times New Roman" w:hAnsi="Times New Roman" w:cs="Times New Roman"/>
          <w:b/>
        </w:rPr>
        <w:t>1.人才培养模式</w:t>
      </w:r>
      <w:r>
        <w:rPr>
          <w:rFonts w:hint="eastAsia" w:ascii="Times New Roman" w:hAnsi="Times New Roman" w:cs="Times New Roman"/>
          <w:b/>
        </w:rPr>
        <w:t>创新</w:t>
      </w:r>
    </w:p>
    <w:p>
      <w:pPr>
        <w:pStyle w:val="28"/>
        <w:spacing w:line="300" w:lineRule="auto"/>
        <w:ind w:firstLine="480" w:firstLineChars="200"/>
        <w:rPr>
          <w:rFonts w:ascii="Times New Roman" w:hAnsi="Times New Roman" w:cs="Times New Roman"/>
          <w:color w:val="000000" w:themeColor="text1"/>
          <w:szCs w:val="28"/>
          <w14:textFill>
            <w14:solidFill>
              <w14:schemeClr w14:val="tx1"/>
            </w14:solidFill>
          </w14:textFill>
        </w:rPr>
      </w:pPr>
      <w:r>
        <w:rPr>
          <w:rFonts w:hint="eastAsia" w:ascii="Times New Roman" w:hAnsi="Times New Roman" w:cs="Times New Roman"/>
          <w:szCs w:val="28"/>
          <w:lang w:val="en-US" w:eastAsia="zh-CN"/>
        </w:rPr>
        <w:t>2020-2021</w:t>
      </w:r>
      <w:r>
        <w:rPr>
          <w:rFonts w:hint="eastAsia" w:ascii="Times New Roman" w:hAnsi="Times New Roman" w:cs="Times New Roman"/>
          <w:szCs w:val="28"/>
        </w:rPr>
        <w:t>学年，学校创新人才培养模式，推广现代学徒制和“1+X”证书制度试点工作。深化</w:t>
      </w:r>
      <w:r>
        <w:rPr>
          <w:rFonts w:hint="eastAsia" w:ascii="Times New Roman" w:hAnsi="Times New Roman" w:cs="Times New Roman"/>
          <w:color w:val="000000" w:themeColor="text1"/>
          <w:szCs w:val="28"/>
          <w14:textFill>
            <w14:solidFill>
              <w14:schemeClr w14:val="tx1"/>
            </w14:solidFill>
          </w14:textFill>
        </w:rPr>
        <w:t>校企合作，将职业准入、岗位设置等要求融入人才培养方案，培养企业需要的技术技能型人才。</w:t>
      </w:r>
    </w:p>
    <w:p>
      <w:pPr>
        <w:pStyle w:val="34"/>
        <w:spacing w:line="300" w:lineRule="auto"/>
        <w:ind w:firstLine="562"/>
        <w:rPr>
          <w:rFonts w:ascii="Times New Roman" w:hAnsi="Times New Roman" w:cs="Times New Roman"/>
          <w:b/>
        </w:rPr>
      </w:pPr>
      <w:r>
        <w:rPr>
          <w:rFonts w:ascii="Times New Roman" w:hAnsi="Times New Roman" w:cs="Times New Roman"/>
          <w:b/>
        </w:rPr>
        <w:t>2.</w:t>
      </w:r>
      <w:r>
        <w:rPr>
          <w:rFonts w:hint="eastAsia" w:ascii="Times New Roman" w:hAnsi="Times New Roman" w:cs="Times New Roman"/>
          <w:b/>
        </w:rPr>
        <w:t>校企交替教育教学模式创新</w:t>
      </w:r>
    </w:p>
    <w:p>
      <w:pPr>
        <w:pStyle w:val="28"/>
        <w:spacing w:line="300" w:lineRule="auto"/>
        <w:ind w:firstLine="480" w:firstLineChars="200"/>
        <w:rPr>
          <w:rFonts w:ascii="Times New Roman" w:hAnsi="Times New Roman" w:cs="Times New Roman"/>
          <w:szCs w:val="28"/>
        </w:rPr>
      </w:pPr>
      <w:r>
        <w:rPr>
          <w:rFonts w:hint="eastAsia" w:ascii="Times New Roman" w:hAnsi="Times New Roman" w:cs="Times New Roman"/>
          <w:szCs w:val="28"/>
        </w:rPr>
        <w:t>学校依据人才培养方案，以学生为主体，明确老师和师傅的教学任务，做到过程考核与结果考核相结合，理论考核与实操考核相结合，专业学习及职业素养的训练相结合，学校教育与企业训练相融合，学校老师与企业师傅相配合，校企共同带教、共同考核，形成系统的“理论+实践”的校企交替教育教学模式。</w:t>
      </w:r>
    </w:p>
    <w:p>
      <w:pPr>
        <w:pStyle w:val="34"/>
        <w:spacing w:line="300" w:lineRule="auto"/>
        <w:ind w:firstLine="562"/>
        <w:rPr>
          <w:rFonts w:ascii="Times New Roman" w:hAnsi="Times New Roman" w:cs="Times New Roman"/>
          <w:b/>
        </w:rPr>
      </w:pPr>
      <w:r>
        <w:rPr>
          <w:rFonts w:ascii="Times New Roman" w:hAnsi="Times New Roman" w:cs="Times New Roman"/>
          <w:b/>
        </w:rPr>
        <w:t>3.</w:t>
      </w:r>
      <w:r>
        <w:rPr>
          <w:rFonts w:hint="eastAsia" w:ascii="Times New Roman" w:hAnsi="Times New Roman" w:cs="Times New Roman"/>
          <w:b/>
        </w:rPr>
        <w:t>信息化教学模式改革</w:t>
      </w:r>
    </w:p>
    <w:p>
      <w:pPr>
        <w:pStyle w:val="28"/>
        <w:spacing w:line="300" w:lineRule="auto"/>
        <w:ind w:firstLine="480" w:firstLineChars="200"/>
        <w:rPr>
          <w:rFonts w:ascii="Times New Roman" w:hAnsi="Times New Roman" w:cs="Times New Roman"/>
          <w:szCs w:val="28"/>
        </w:rPr>
      </w:pPr>
      <w:r>
        <w:rPr>
          <w:rFonts w:hint="eastAsia" w:ascii="Times New Roman" w:hAnsi="Times New Roman" w:cs="Times New Roman"/>
          <w:szCs w:val="28"/>
        </w:rPr>
        <w:t>学校改变传统“教授式”教学模式，充分利用现代教育技术手段，融合多种教学媒体，发挥学生的主动性、积极性和创造性，从以“传授知识、掌握技能”为中心转移为以能力培养尤其是创新思维能力培养为中心。</w:t>
      </w:r>
      <w:r>
        <w:rPr>
          <w:rFonts w:hint="eastAsia" w:ascii="Times New Roman" w:hAnsi="Times New Roman"/>
          <w:color w:val="000000" w:themeColor="text1"/>
          <w:szCs w:val="28"/>
          <w14:textFill>
            <w14:solidFill>
              <w14:schemeClr w14:val="tx1"/>
            </w14:solidFill>
          </w14:textFill>
        </w:rPr>
        <w:t>126门课程可利用网络课堂正常教学。</w:t>
      </w:r>
    </w:p>
    <w:p>
      <w:pPr>
        <w:pStyle w:val="5"/>
        <w:rPr>
          <w:rFonts w:ascii="Times New Roman" w:hAnsi="Times New Roman"/>
        </w:rPr>
      </w:pPr>
      <w:bookmarkStart w:id="61" w:name="_Toc61256682"/>
      <w:bookmarkStart w:id="62" w:name="_Toc27773"/>
      <w:r>
        <w:rPr>
          <w:rFonts w:ascii="Times New Roman" w:hAnsi="Times New Roman"/>
        </w:rPr>
        <w:t>（三）教师培养培训</w:t>
      </w:r>
      <w:bookmarkEnd w:id="61"/>
      <w:bookmarkEnd w:id="62"/>
    </w:p>
    <w:p>
      <w:pPr>
        <w:pStyle w:val="34"/>
        <w:spacing w:line="300" w:lineRule="auto"/>
        <w:ind w:firstLine="480"/>
        <w:rPr>
          <w:rFonts w:ascii="Times New Roman" w:hAnsi="Times New Roman" w:cs="Times New Roman"/>
          <w:sz w:val="24"/>
          <w:szCs w:val="28"/>
        </w:rPr>
      </w:pPr>
      <w:r>
        <w:rPr>
          <w:rFonts w:hint="eastAsia" w:ascii="Times New Roman" w:hAnsi="Times New Roman" w:cs="Times New Roman"/>
          <w:sz w:val="24"/>
          <w:szCs w:val="28"/>
        </w:rPr>
        <w:t>学校强化师资队伍培养，逐层推进教师专业培训。教师培训形式呈现多样化、专业化，培训目标明确，参培成效显著。</w:t>
      </w:r>
    </w:p>
    <w:p>
      <w:pPr>
        <w:pStyle w:val="34"/>
        <w:ind w:firstLine="562"/>
        <w:rPr>
          <w:rFonts w:ascii="Times New Roman" w:hAnsi="Times New Roman" w:cs="Times New Roman"/>
          <w:b/>
        </w:rPr>
      </w:pPr>
      <w:r>
        <w:rPr>
          <w:rFonts w:ascii="Times New Roman" w:hAnsi="Times New Roman" w:cs="Times New Roman"/>
          <w:b/>
        </w:rPr>
        <w:t>1.教师教学质量考核</w:t>
      </w:r>
    </w:p>
    <w:p>
      <w:pPr>
        <w:pStyle w:val="28"/>
        <w:spacing w:line="300" w:lineRule="auto"/>
        <w:ind w:firstLine="480" w:firstLineChars="200"/>
        <w:rPr>
          <w:rFonts w:ascii="Times New Roman" w:hAnsi="Times New Roman" w:cs="Times New Roman"/>
          <w:szCs w:val="28"/>
        </w:rPr>
      </w:pPr>
      <w:r>
        <w:rPr>
          <w:rFonts w:hint="eastAsia" w:ascii="Times New Roman" w:hAnsi="Times New Roman" w:cs="Times New Roman"/>
          <w:szCs w:val="28"/>
        </w:rPr>
        <w:t>完善相关制度，继续推进各类课程的考核方式改革，探索多元考核形式，开展学生评教工作研究，调整学生评教指标体系和运行方式，探索提高教学质量的有效方式。</w:t>
      </w:r>
    </w:p>
    <w:p>
      <w:pPr>
        <w:pStyle w:val="34"/>
        <w:ind w:firstLine="562"/>
        <w:rPr>
          <w:rFonts w:ascii="Times New Roman" w:hAnsi="Times New Roman" w:cs="Times New Roman"/>
          <w:b/>
        </w:rPr>
      </w:pPr>
      <w:r>
        <w:rPr>
          <w:rFonts w:ascii="Times New Roman" w:hAnsi="Times New Roman" w:cs="Times New Roman"/>
          <w:b/>
        </w:rPr>
        <w:t>2.教师培训</w:t>
      </w:r>
    </w:p>
    <w:p>
      <w:pPr>
        <w:pStyle w:val="34"/>
        <w:spacing w:line="300" w:lineRule="auto"/>
        <w:ind w:firstLine="480"/>
        <w:rPr>
          <w:rFonts w:ascii="Times New Roman" w:hAnsi="Times New Roman" w:cs="Times New Roman"/>
          <w:sz w:val="24"/>
          <w:szCs w:val="28"/>
        </w:rPr>
      </w:pPr>
      <w:r>
        <w:rPr>
          <w:rFonts w:hint="eastAsia" w:ascii="Times New Roman" w:hAnsi="Times New Roman" w:cs="Times New Roman"/>
          <w:sz w:val="24"/>
          <w:szCs w:val="28"/>
        </w:rPr>
        <w:t>落实</w:t>
      </w:r>
      <w:r>
        <w:rPr>
          <w:rFonts w:hint="eastAsia" w:ascii="Times New Roman" w:hAnsi="Times New Roman" w:cs="Times New Roman"/>
          <w:sz w:val="24"/>
          <w:szCs w:val="28"/>
          <w:lang w:eastAsia="zh-CN"/>
        </w:rPr>
        <w:t>学校</w:t>
      </w:r>
      <w:r>
        <w:rPr>
          <w:rFonts w:hint="eastAsia" w:ascii="Times New Roman" w:hAnsi="Times New Roman" w:cs="Times New Roman"/>
          <w:sz w:val="24"/>
          <w:szCs w:val="28"/>
        </w:rPr>
        <w:t>教师三年培养计划，做好各级各类培训工作</w:t>
      </w:r>
      <w:r>
        <w:rPr>
          <w:rFonts w:hint="eastAsia" w:ascii="Times New Roman" w:hAnsi="Times New Roman" w:cs="Times New Roman"/>
          <w:sz w:val="24"/>
          <w:szCs w:val="28"/>
          <w:lang w:eastAsia="zh-CN"/>
        </w:rPr>
        <w:t>，</w:t>
      </w:r>
      <w:r>
        <w:rPr>
          <w:rFonts w:hint="eastAsia" w:ascii="Times New Roman" w:hAnsi="Times New Roman" w:cs="Times New Roman"/>
          <w:sz w:val="24"/>
          <w:szCs w:val="28"/>
        </w:rPr>
        <w:t>以师资培训重点项目为依托，加大外出培训教师选派力度，启动教师外出轮训工程。</w:t>
      </w:r>
      <w:r>
        <w:rPr>
          <w:rFonts w:hint="eastAsia" w:ascii="Times New Roman" w:hAnsi="Times New Roman" w:cs="Times New Roman"/>
          <w:sz w:val="24"/>
          <w:szCs w:val="28"/>
          <w:lang w:val="en-US" w:eastAsia="zh-CN"/>
        </w:rPr>
        <w:t>2020-2021学年，</w:t>
      </w:r>
      <w:r>
        <w:rPr>
          <w:rFonts w:hint="eastAsia" w:ascii="Times New Roman" w:hAnsi="Times New Roman" w:cs="Times New Roman"/>
          <w:sz w:val="24"/>
          <w:szCs w:val="28"/>
        </w:rPr>
        <w:t>安排国培、省培、州培、自培</w:t>
      </w:r>
      <w:r>
        <w:rPr>
          <w:rFonts w:hint="eastAsia" w:ascii="Times New Roman" w:hAnsi="Times New Roman" w:cs="Times New Roman"/>
          <w:sz w:val="24"/>
          <w:szCs w:val="28"/>
          <w:lang w:val="en-US" w:eastAsia="zh-CN"/>
        </w:rPr>
        <w:t>91</w:t>
      </w:r>
      <w:r>
        <w:rPr>
          <w:rFonts w:hint="eastAsia" w:ascii="Times New Roman" w:hAnsi="Times New Roman" w:cs="Times New Roman"/>
          <w:sz w:val="24"/>
          <w:szCs w:val="28"/>
        </w:rPr>
        <w:t>人次。</w:t>
      </w:r>
    </w:p>
    <w:p>
      <w:pPr>
        <w:pStyle w:val="34"/>
        <w:spacing w:line="300" w:lineRule="auto"/>
        <w:ind w:firstLine="480"/>
        <w:rPr>
          <w:rFonts w:ascii="Times New Roman" w:hAnsi="Times New Roman" w:cs="Times New Roman"/>
          <w:sz w:val="24"/>
          <w:szCs w:val="28"/>
        </w:rPr>
      </w:pPr>
      <w:r>
        <w:rPr>
          <w:rFonts w:hint="eastAsia" w:ascii="Times New Roman" w:hAnsi="Times New Roman" w:cs="Times New Roman"/>
          <w:sz w:val="24"/>
          <w:szCs w:val="28"/>
          <w:lang w:val="en-US" w:eastAsia="zh-CN"/>
        </w:rPr>
        <w:t>2020-2021</w:t>
      </w:r>
      <w:r>
        <w:rPr>
          <w:rFonts w:ascii="Times New Roman" w:hAnsi="Times New Roman" w:cs="Times New Roman"/>
          <w:sz w:val="24"/>
          <w:szCs w:val="28"/>
        </w:rPr>
        <w:t>学年教师参</w:t>
      </w:r>
      <w:r>
        <w:rPr>
          <w:rFonts w:hint="eastAsia" w:ascii="Times New Roman" w:hAnsi="Times New Roman" w:cs="Times New Roman"/>
          <w:sz w:val="24"/>
          <w:szCs w:val="28"/>
        </w:rPr>
        <w:t>加</w:t>
      </w:r>
      <w:r>
        <w:rPr>
          <w:rFonts w:ascii="Times New Roman" w:hAnsi="Times New Roman" w:cs="Times New Roman"/>
          <w:sz w:val="24"/>
          <w:szCs w:val="28"/>
        </w:rPr>
        <w:t>各级培训规模统计见表3-</w:t>
      </w:r>
      <w:r>
        <w:rPr>
          <w:rFonts w:hint="eastAsia" w:ascii="Times New Roman" w:hAnsi="Times New Roman" w:cs="Times New Roman"/>
          <w:sz w:val="24"/>
          <w:szCs w:val="28"/>
        </w:rPr>
        <w:t>2，</w:t>
      </w:r>
      <w:r>
        <w:rPr>
          <w:rFonts w:ascii="Times New Roman" w:hAnsi="Times New Roman" w:cs="Times New Roman"/>
          <w:sz w:val="24"/>
          <w:szCs w:val="28"/>
        </w:rPr>
        <w:t>教师培训具体情况统计见表3-</w:t>
      </w:r>
      <w:r>
        <w:rPr>
          <w:rFonts w:hint="eastAsia" w:ascii="Times New Roman" w:hAnsi="Times New Roman" w:cs="Times New Roman"/>
          <w:sz w:val="24"/>
          <w:szCs w:val="28"/>
        </w:rPr>
        <w:t>3</w:t>
      </w:r>
      <w:r>
        <w:rPr>
          <w:rFonts w:ascii="Times New Roman" w:hAnsi="Times New Roman" w:cs="Times New Roman"/>
          <w:sz w:val="24"/>
          <w:szCs w:val="28"/>
        </w:rPr>
        <w:t>。</w:t>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表3-</w:t>
      </w:r>
      <w:r>
        <w:rPr>
          <w:rFonts w:hint="eastAsia" w:ascii="Times New Roman" w:hAnsi="Times New Roman" w:cs="Times New Roman"/>
          <w:b/>
          <w:color w:val="000000" w:themeColor="text1"/>
          <w:kern w:val="2"/>
          <w:sz w:val="21"/>
          <w:szCs w:val="21"/>
          <w14:textFill>
            <w14:solidFill>
              <w14:schemeClr w14:val="tx1"/>
            </w14:solidFill>
          </w14:textFill>
        </w:rPr>
        <w:t>2</w:t>
      </w:r>
      <w:r>
        <w:rPr>
          <w:rFonts w:ascii="Times New Roman" w:hAnsi="Times New Roman" w:cs="Times New Roman"/>
          <w:b/>
          <w:color w:val="000000" w:themeColor="text1"/>
          <w:kern w:val="2"/>
          <w:sz w:val="21"/>
          <w:szCs w:val="21"/>
          <w14:textFill>
            <w14:solidFill>
              <w14:schemeClr w14:val="tx1"/>
            </w14:solidFill>
          </w14:textFill>
        </w:rPr>
        <w:t xml:space="preserve">  20</w:t>
      </w:r>
      <w:r>
        <w:rPr>
          <w:rFonts w:hint="eastAsia" w:ascii="Times New Roman" w:hAnsi="Times New Roman" w:cs="Times New Roman"/>
          <w:b/>
          <w:color w:val="000000" w:themeColor="text1"/>
          <w:kern w:val="2"/>
          <w:sz w:val="21"/>
          <w:szCs w:val="21"/>
          <w14:textFill>
            <w14:solidFill>
              <w14:schemeClr w14:val="tx1"/>
            </w14:solidFill>
          </w14:textFill>
        </w:rPr>
        <w:t>20</w:t>
      </w:r>
      <w:r>
        <w:rPr>
          <w:rFonts w:hint="eastAsia" w:ascii="Times New Roman" w:hAnsi="Times New Roman" w:cs="Times New Roman"/>
          <w:b/>
          <w:color w:val="000000" w:themeColor="text1"/>
          <w:kern w:val="2"/>
          <w:sz w:val="21"/>
          <w:szCs w:val="21"/>
          <w:lang w:val="en-US" w:eastAsia="zh-CN"/>
          <w14:textFill>
            <w14:solidFill>
              <w14:schemeClr w14:val="tx1"/>
            </w14:solidFill>
          </w14:textFill>
        </w:rPr>
        <w:t>-2021</w:t>
      </w:r>
      <w:r>
        <w:rPr>
          <w:rFonts w:ascii="Times New Roman" w:hAnsi="Times New Roman" w:cs="Times New Roman"/>
          <w:b/>
          <w:color w:val="000000" w:themeColor="text1"/>
          <w:kern w:val="2"/>
          <w:sz w:val="21"/>
          <w:szCs w:val="21"/>
          <w14:textFill>
            <w14:solidFill>
              <w14:schemeClr w14:val="tx1"/>
            </w14:solidFill>
          </w14:textFill>
        </w:rPr>
        <w:t>学年专任教师参加各级培训规模统计</w:t>
      </w:r>
    </w:p>
    <w:tbl>
      <w:tblPr>
        <w:tblStyle w:val="17"/>
        <w:tblW w:w="8278" w:type="dxa"/>
        <w:tblInd w:w="0" w:type="dxa"/>
        <w:tblLayout w:type="fixed"/>
        <w:tblCellMar>
          <w:top w:w="15" w:type="dxa"/>
          <w:left w:w="15" w:type="dxa"/>
          <w:bottom w:w="15" w:type="dxa"/>
          <w:right w:w="15" w:type="dxa"/>
        </w:tblCellMar>
      </w:tblPr>
      <w:tblGrid>
        <w:gridCol w:w="2458"/>
        <w:gridCol w:w="2361"/>
        <w:gridCol w:w="3459"/>
      </w:tblGrid>
      <w:tr>
        <w:tblPrEx>
          <w:tblCellMar>
            <w:top w:w="15" w:type="dxa"/>
            <w:left w:w="15" w:type="dxa"/>
            <w:bottom w:w="15" w:type="dxa"/>
            <w:right w:w="15" w:type="dxa"/>
          </w:tblCellMar>
        </w:tblPrEx>
        <w:trPr>
          <w:trHeight w:val="397" w:hRule="atLeast"/>
          <w:tblHeader/>
        </w:trPr>
        <w:tc>
          <w:tcPr>
            <w:tcW w:w="2476" w:type="dxa"/>
            <w:tcBorders>
              <w:top w:val="single" w:color="000000" w:sz="4" w:space="0"/>
              <w:left w:val="single" w:color="000000" w:sz="4" w:space="0"/>
              <w:bottom w:val="single" w:color="000000" w:sz="4" w:space="0"/>
              <w:right w:val="single" w:color="000000" w:sz="4" w:space="0"/>
            </w:tcBorders>
            <w:shd w:val="clear" w:color="auto" w:fill="C6D9F0" w:themeFill="text2" w:themeFillTint="33"/>
            <w:vAlign w:val="center"/>
          </w:tcPr>
          <w:p>
            <w:pPr>
              <w:widowControl/>
              <w:jc w:val="center"/>
              <w:textAlignment w:val="center"/>
              <w:rPr>
                <w:rFonts w:ascii="Times New Roman" w:hAnsi="Times New Roman"/>
                <w:b/>
                <w:color w:val="000000"/>
                <w:szCs w:val="21"/>
              </w:rPr>
            </w:pPr>
            <w:r>
              <w:rPr>
                <w:rFonts w:ascii="Times New Roman" w:hAnsi="Times New Roman"/>
                <w:b/>
                <w:color w:val="000000"/>
                <w:kern w:val="0"/>
                <w:szCs w:val="21"/>
              </w:rPr>
              <w:t>培训类型</w:t>
            </w:r>
          </w:p>
        </w:tc>
        <w:tc>
          <w:tcPr>
            <w:tcW w:w="2377" w:type="dxa"/>
            <w:tcBorders>
              <w:top w:val="single" w:color="000000" w:sz="4" w:space="0"/>
              <w:left w:val="single" w:color="000000" w:sz="4" w:space="0"/>
              <w:bottom w:val="single" w:color="000000" w:sz="4" w:space="0"/>
              <w:right w:val="single" w:color="000000" w:sz="4" w:space="0"/>
            </w:tcBorders>
            <w:shd w:val="clear" w:color="auto" w:fill="C6D9F0" w:themeFill="text2" w:themeFillTint="33"/>
            <w:vAlign w:val="center"/>
          </w:tcPr>
          <w:p>
            <w:pPr>
              <w:widowControl/>
              <w:jc w:val="center"/>
              <w:textAlignment w:val="center"/>
              <w:rPr>
                <w:rFonts w:ascii="Times New Roman" w:hAnsi="Times New Roman"/>
                <w:b/>
                <w:color w:val="000000"/>
                <w:szCs w:val="21"/>
              </w:rPr>
            </w:pPr>
            <w:r>
              <w:rPr>
                <w:rFonts w:ascii="Times New Roman" w:hAnsi="Times New Roman"/>
                <w:b/>
                <w:color w:val="000000"/>
                <w:kern w:val="0"/>
                <w:szCs w:val="21"/>
              </w:rPr>
              <w:t>培训人数（人）</w:t>
            </w:r>
          </w:p>
        </w:tc>
        <w:tc>
          <w:tcPr>
            <w:tcW w:w="3483" w:type="dxa"/>
            <w:tcBorders>
              <w:top w:val="single" w:color="000000" w:sz="4" w:space="0"/>
              <w:left w:val="single" w:color="000000" w:sz="4" w:space="0"/>
              <w:bottom w:val="single" w:color="000000" w:sz="4" w:space="0"/>
              <w:right w:val="single" w:color="000000" w:sz="4" w:space="0"/>
            </w:tcBorders>
            <w:shd w:val="clear" w:color="auto" w:fill="C6D9F0" w:themeFill="text2" w:themeFillTint="33"/>
            <w:vAlign w:val="center"/>
          </w:tcPr>
          <w:p>
            <w:pPr>
              <w:widowControl/>
              <w:jc w:val="center"/>
              <w:textAlignment w:val="bottom"/>
              <w:rPr>
                <w:rFonts w:ascii="Times New Roman" w:hAnsi="Times New Roman"/>
                <w:b/>
                <w:color w:val="000000"/>
                <w:szCs w:val="21"/>
              </w:rPr>
            </w:pPr>
            <w:r>
              <w:rPr>
                <w:rFonts w:ascii="Times New Roman" w:hAnsi="Times New Roman"/>
                <w:b/>
                <w:color w:val="000000"/>
                <w:kern w:val="0"/>
                <w:szCs w:val="21"/>
              </w:rPr>
              <w:t>培训人均课时数（小时）</w:t>
            </w:r>
          </w:p>
        </w:tc>
      </w:tr>
      <w:tr>
        <w:tblPrEx>
          <w:tblCellMar>
            <w:top w:w="15" w:type="dxa"/>
            <w:left w:w="15" w:type="dxa"/>
            <w:bottom w:w="15" w:type="dxa"/>
            <w:right w:w="15" w:type="dxa"/>
          </w:tblCellMar>
        </w:tblPrEx>
        <w:trPr>
          <w:trHeight w:val="397" w:hRule="atLeast"/>
        </w:trPr>
        <w:tc>
          <w:tcPr>
            <w:tcW w:w="247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olor w:val="auto"/>
                <w:szCs w:val="21"/>
              </w:rPr>
            </w:pPr>
            <w:r>
              <w:rPr>
                <w:rFonts w:ascii="Times New Roman" w:hAnsi="Times New Roman"/>
                <w:color w:val="auto"/>
                <w:kern w:val="0"/>
                <w:szCs w:val="21"/>
              </w:rPr>
              <w:t>国培</w:t>
            </w:r>
          </w:p>
        </w:tc>
        <w:tc>
          <w:tcPr>
            <w:tcW w:w="2377" w:type="dxa"/>
            <w:tcBorders>
              <w:top w:val="single" w:color="000000" w:sz="4" w:space="0"/>
              <w:left w:val="single" w:color="000000" w:sz="4" w:space="0"/>
              <w:bottom w:val="single" w:color="000000" w:sz="4" w:space="0"/>
              <w:right w:val="single" w:color="000000" w:sz="4" w:space="0"/>
            </w:tcBorders>
            <w:vAlign w:val="bottom"/>
          </w:tcPr>
          <w:p>
            <w:pPr>
              <w:widowControl/>
              <w:jc w:val="center"/>
              <w:textAlignment w:val="bottom"/>
              <w:rPr>
                <w:rFonts w:ascii="Times New Roman" w:hAnsi="Times New Roman"/>
                <w:color w:val="auto"/>
                <w:szCs w:val="21"/>
              </w:rPr>
            </w:pPr>
            <w:r>
              <w:rPr>
                <w:rFonts w:hint="eastAsia" w:ascii="Times New Roman" w:hAnsi="Times New Roman"/>
                <w:color w:val="auto"/>
                <w:szCs w:val="21"/>
              </w:rPr>
              <w:t>3</w:t>
            </w:r>
            <w:r>
              <w:rPr>
                <w:rFonts w:ascii="Times New Roman" w:hAnsi="Times New Roman"/>
                <w:color w:val="auto"/>
                <w:szCs w:val="21"/>
              </w:rPr>
              <w:t>6</w:t>
            </w:r>
          </w:p>
        </w:tc>
        <w:tc>
          <w:tcPr>
            <w:tcW w:w="3483" w:type="dxa"/>
            <w:tcBorders>
              <w:top w:val="single" w:color="000000" w:sz="4" w:space="0"/>
              <w:left w:val="single" w:color="000000" w:sz="4" w:space="0"/>
              <w:bottom w:val="single" w:color="000000" w:sz="4" w:space="0"/>
              <w:right w:val="single" w:color="000000" w:sz="4" w:space="0"/>
            </w:tcBorders>
            <w:vAlign w:val="bottom"/>
          </w:tcPr>
          <w:p>
            <w:pPr>
              <w:widowControl/>
              <w:jc w:val="center"/>
              <w:textAlignment w:val="bottom"/>
              <w:rPr>
                <w:rFonts w:ascii="Times New Roman" w:hAnsi="Times New Roman"/>
                <w:color w:val="auto"/>
                <w:szCs w:val="21"/>
              </w:rPr>
            </w:pPr>
            <w:r>
              <w:rPr>
                <w:rFonts w:hint="eastAsia" w:ascii="Times New Roman" w:hAnsi="Times New Roman"/>
                <w:color w:val="auto"/>
                <w:szCs w:val="21"/>
              </w:rPr>
              <w:t>5</w:t>
            </w:r>
            <w:r>
              <w:rPr>
                <w:rFonts w:ascii="Times New Roman" w:hAnsi="Times New Roman"/>
                <w:color w:val="auto"/>
                <w:szCs w:val="21"/>
              </w:rPr>
              <w:t>0.1</w:t>
            </w:r>
          </w:p>
        </w:tc>
      </w:tr>
      <w:tr>
        <w:tblPrEx>
          <w:tblCellMar>
            <w:top w:w="15" w:type="dxa"/>
            <w:left w:w="15" w:type="dxa"/>
            <w:bottom w:w="15" w:type="dxa"/>
            <w:right w:w="15" w:type="dxa"/>
          </w:tblCellMar>
        </w:tblPrEx>
        <w:trPr>
          <w:trHeight w:val="397" w:hRule="atLeast"/>
        </w:trPr>
        <w:tc>
          <w:tcPr>
            <w:tcW w:w="247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olor w:val="auto"/>
                <w:szCs w:val="21"/>
              </w:rPr>
            </w:pPr>
            <w:r>
              <w:rPr>
                <w:rFonts w:ascii="Times New Roman" w:hAnsi="Times New Roman"/>
                <w:color w:val="auto"/>
                <w:kern w:val="0"/>
                <w:szCs w:val="21"/>
              </w:rPr>
              <w:t>省培</w:t>
            </w:r>
          </w:p>
        </w:tc>
        <w:tc>
          <w:tcPr>
            <w:tcW w:w="2377" w:type="dxa"/>
            <w:tcBorders>
              <w:top w:val="single" w:color="000000" w:sz="4" w:space="0"/>
              <w:left w:val="single" w:color="000000" w:sz="4" w:space="0"/>
              <w:bottom w:val="single" w:color="000000" w:sz="4" w:space="0"/>
              <w:right w:val="single" w:color="000000" w:sz="4" w:space="0"/>
            </w:tcBorders>
            <w:vAlign w:val="bottom"/>
          </w:tcPr>
          <w:p>
            <w:pPr>
              <w:widowControl/>
              <w:jc w:val="center"/>
              <w:textAlignment w:val="bottom"/>
              <w:rPr>
                <w:rFonts w:ascii="Times New Roman" w:hAnsi="Times New Roman"/>
                <w:color w:val="auto"/>
                <w:szCs w:val="21"/>
              </w:rPr>
            </w:pPr>
            <w:r>
              <w:rPr>
                <w:rFonts w:hint="eastAsia" w:ascii="Times New Roman" w:hAnsi="Times New Roman"/>
                <w:color w:val="auto"/>
                <w:szCs w:val="21"/>
              </w:rPr>
              <w:t>4</w:t>
            </w:r>
            <w:r>
              <w:rPr>
                <w:rFonts w:ascii="Times New Roman" w:hAnsi="Times New Roman"/>
                <w:color w:val="auto"/>
                <w:szCs w:val="21"/>
              </w:rPr>
              <w:t>7</w:t>
            </w:r>
          </w:p>
        </w:tc>
        <w:tc>
          <w:tcPr>
            <w:tcW w:w="3483" w:type="dxa"/>
            <w:tcBorders>
              <w:top w:val="single" w:color="000000" w:sz="4" w:space="0"/>
              <w:left w:val="single" w:color="000000" w:sz="4" w:space="0"/>
              <w:bottom w:val="single" w:color="000000" w:sz="4" w:space="0"/>
              <w:right w:val="single" w:color="000000" w:sz="4" w:space="0"/>
            </w:tcBorders>
            <w:vAlign w:val="bottom"/>
          </w:tcPr>
          <w:p>
            <w:pPr>
              <w:widowControl/>
              <w:jc w:val="center"/>
              <w:textAlignment w:val="bottom"/>
              <w:rPr>
                <w:rFonts w:ascii="Times New Roman" w:hAnsi="Times New Roman"/>
                <w:color w:val="auto"/>
                <w:szCs w:val="21"/>
              </w:rPr>
            </w:pPr>
            <w:r>
              <w:rPr>
                <w:rFonts w:hint="eastAsia" w:ascii="Times New Roman" w:hAnsi="Times New Roman"/>
                <w:color w:val="auto"/>
                <w:szCs w:val="21"/>
              </w:rPr>
              <w:t>9</w:t>
            </w:r>
            <w:r>
              <w:rPr>
                <w:rFonts w:ascii="Times New Roman" w:hAnsi="Times New Roman"/>
                <w:color w:val="auto"/>
                <w:szCs w:val="21"/>
              </w:rPr>
              <w:t>.36</w:t>
            </w:r>
          </w:p>
        </w:tc>
      </w:tr>
      <w:tr>
        <w:tblPrEx>
          <w:tblCellMar>
            <w:top w:w="15" w:type="dxa"/>
            <w:left w:w="15" w:type="dxa"/>
            <w:bottom w:w="15" w:type="dxa"/>
            <w:right w:w="15" w:type="dxa"/>
          </w:tblCellMar>
        </w:tblPrEx>
        <w:trPr>
          <w:trHeight w:val="397" w:hRule="atLeast"/>
        </w:trPr>
        <w:tc>
          <w:tcPr>
            <w:tcW w:w="247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olor w:val="auto"/>
                <w:szCs w:val="21"/>
              </w:rPr>
            </w:pPr>
            <w:r>
              <w:rPr>
                <w:rFonts w:ascii="Times New Roman" w:hAnsi="Times New Roman"/>
                <w:color w:val="auto"/>
                <w:kern w:val="0"/>
                <w:szCs w:val="21"/>
              </w:rPr>
              <w:t>市级培训</w:t>
            </w:r>
          </w:p>
        </w:tc>
        <w:tc>
          <w:tcPr>
            <w:tcW w:w="2377" w:type="dxa"/>
            <w:tcBorders>
              <w:top w:val="single" w:color="000000" w:sz="4" w:space="0"/>
              <w:left w:val="single" w:color="000000" w:sz="4" w:space="0"/>
              <w:bottom w:val="single" w:color="000000" w:sz="4" w:space="0"/>
              <w:right w:val="single" w:color="000000" w:sz="4" w:space="0"/>
            </w:tcBorders>
            <w:vAlign w:val="bottom"/>
          </w:tcPr>
          <w:p>
            <w:pPr>
              <w:widowControl/>
              <w:jc w:val="center"/>
              <w:textAlignment w:val="bottom"/>
              <w:rPr>
                <w:rFonts w:ascii="Times New Roman" w:hAnsi="Times New Roman"/>
                <w:color w:val="auto"/>
                <w:szCs w:val="21"/>
              </w:rPr>
            </w:pPr>
            <w:r>
              <w:rPr>
                <w:rFonts w:hint="eastAsia" w:ascii="Times New Roman" w:hAnsi="Times New Roman"/>
                <w:color w:val="auto"/>
                <w:szCs w:val="21"/>
              </w:rPr>
              <w:t>8</w:t>
            </w:r>
          </w:p>
        </w:tc>
        <w:tc>
          <w:tcPr>
            <w:tcW w:w="3483" w:type="dxa"/>
            <w:tcBorders>
              <w:top w:val="single" w:color="000000" w:sz="4" w:space="0"/>
              <w:left w:val="single" w:color="000000" w:sz="4" w:space="0"/>
              <w:bottom w:val="single" w:color="000000" w:sz="4" w:space="0"/>
              <w:right w:val="single" w:color="000000" w:sz="4" w:space="0"/>
            </w:tcBorders>
            <w:vAlign w:val="bottom"/>
          </w:tcPr>
          <w:p>
            <w:pPr>
              <w:widowControl/>
              <w:jc w:val="center"/>
              <w:textAlignment w:val="bottom"/>
              <w:rPr>
                <w:rFonts w:ascii="Times New Roman" w:hAnsi="Times New Roman"/>
                <w:color w:val="auto"/>
                <w:szCs w:val="21"/>
              </w:rPr>
            </w:pPr>
            <w:r>
              <w:rPr>
                <w:rFonts w:hint="eastAsia" w:ascii="Times New Roman" w:hAnsi="Times New Roman"/>
                <w:color w:val="auto"/>
                <w:szCs w:val="21"/>
              </w:rPr>
              <w:t>8</w:t>
            </w:r>
            <w:r>
              <w:rPr>
                <w:rFonts w:ascii="Times New Roman" w:hAnsi="Times New Roman"/>
                <w:color w:val="auto"/>
                <w:szCs w:val="21"/>
              </w:rPr>
              <w:t>3</w:t>
            </w:r>
          </w:p>
        </w:tc>
      </w:tr>
      <w:tr>
        <w:tblPrEx>
          <w:tblCellMar>
            <w:top w:w="15" w:type="dxa"/>
            <w:left w:w="15" w:type="dxa"/>
            <w:bottom w:w="15" w:type="dxa"/>
            <w:right w:w="15" w:type="dxa"/>
          </w:tblCellMar>
        </w:tblPrEx>
        <w:trPr>
          <w:trHeight w:val="397" w:hRule="atLeast"/>
        </w:trPr>
        <w:tc>
          <w:tcPr>
            <w:tcW w:w="2476" w:type="dxa"/>
            <w:tcBorders>
              <w:top w:val="single" w:color="000000" w:sz="4" w:space="0"/>
              <w:left w:val="single" w:color="000000" w:sz="4" w:space="0"/>
              <w:bottom w:val="single" w:color="000000" w:sz="4" w:space="0"/>
              <w:right w:val="single" w:color="000000" w:sz="4" w:space="0"/>
            </w:tcBorders>
            <w:vAlign w:val="center"/>
          </w:tcPr>
          <w:p>
            <w:pPr>
              <w:widowControl/>
              <w:jc w:val="center"/>
              <w:textAlignment w:val="center"/>
              <w:rPr>
                <w:rFonts w:ascii="Times New Roman" w:hAnsi="Times New Roman"/>
                <w:color w:val="auto"/>
                <w:kern w:val="0"/>
                <w:szCs w:val="21"/>
              </w:rPr>
            </w:pPr>
            <w:r>
              <w:rPr>
                <w:rFonts w:ascii="Times New Roman" w:hAnsi="Times New Roman"/>
                <w:color w:val="auto"/>
                <w:kern w:val="0"/>
                <w:szCs w:val="21"/>
              </w:rPr>
              <w:t>合计</w:t>
            </w:r>
          </w:p>
        </w:tc>
        <w:tc>
          <w:tcPr>
            <w:tcW w:w="2377" w:type="dxa"/>
            <w:tcBorders>
              <w:top w:val="single" w:color="000000" w:sz="4" w:space="0"/>
              <w:left w:val="single" w:color="000000" w:sz="4" w:space="0"/>
              <w:bottom w:val="single" w:color="000000" w:sz="4" w:space="0"/>
              <w:right w:val="single" w:color="000000" w:sz="4" w:space="0"/>
            </w:tcBorders>
            <w:vAlign w:val="bottom"/>
          </w:tcPr>
          <w:p>
            <w:pPr>
              <w:widowControl/>
              <w:jc w:val="center"/>
              <w:textAlignment w:val="bottom"/>
              <w:rPr>
                <w:rFonts w:ascii="Times New Roman" w:hAnsi="Times New Roman"/>
                <w:color w:val="auto"/>
                <w:szCs w:val="21"/>
              </w:rPr>
            </w:pPr>
            <w:r>
              <w:rPr>
                <w:rFonts w:hint="eastAsia" w:ascii="Times New Roman" w:hAnsi="Times New Roman"/>
                <w:color w:val="auto"/>
                <w:szCs w:val="21"/>
              </w:rPr>
              <w:t>9</w:t>
            </w:r>
            <w:r>
              <w:rPr>
                <w:rFonts w:ascii="Times New Roman" w:hAnsi="Times New Roman"/>
                <w:color w:val="auto"/>
                <w:szCs w:val="21"/>
              </w:rPr>
              <w:t>1</w:t>
            </w:r>
          </w:p>
        </w:tc>
        <w:tc>
          <w:tcPr>
            <w:tcW w:w="3483" w:type="dxa"/>
            <w:tcBorders>
              <w:top w:val="single" w:color="000000" w:sz="4" w:space="0"/>
              <w:left w:val="single" w:color="000000" w:sz="4" w:space="0"/>
              <w:bottom w:val="single" w:color="000000" w:sz="4" w:space="0"/>
              <w:right w:val="single" w:color="000000" w:sz="4" w:space="0"/>
            </w:tcBorders>
            <w:vAlign w:val="bottom"/>
          </w:tcPr>
          <w:p>
            <w:pPr>
              <w:widowControl/>
              <w:jc w:val="center"/>
              <w:textAlignment w:val="bottom"/>
              <w:rPr>
                <w:rFonts w:ascii="Times New Roman" w:hAnsi="Times New Roman"/>
                <w:color w:val="auto"/>
                <w:szCs w:val="21"/>
              </w:rPr>
            </w:pPr>
            <w:r>
              <w:rPr>
                <w:rFonts w:hint="eastAsia" w:ascii="Times New Roman" w:hAnsi="Times New Roman"/>
                <w:color w:val="auto"/>
                <w:szCs w:val="21"/>
                <w:lang w:eastAsia="zh-Hans"/>
              </w:rPr>
              <w:t>—</w:t>
            </w:r>
          </w:p>
        </w:tc>
      </w:tr>
    </w:tbl>
    <w:p>
      <w:pPr>
        <w:pStyle w:val="15"/>
        <w:shd w:val="clear" w:color="auto" w:fill="FFFFFF"/>
        <w:spacing w:before="0" w:beforeAutospacing="0" w:after="0" w:afterAutospacing="0" w:line="360" w:lineRule="auto"/>
        <w:jc w:val="center"/>
        <w:rPr>
          <w:rFonts w:hint="eastAsia" w:ascii="Times New Roman" w:hAnsi="Times New Roman" w:eastAsia="宋体" w:cs="Times New Roman"/>
          <w:b/>
          <w:color w:val="000000" w:themeColor="text1"/>
          <w:kern w:val="2"/>
          <w:sz w:val="21"/>
          <w:szCs w:val="21"/>
          <w:lang w:eastAsia="zh-CN"/>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表3-</w:t>
      </w:r>
      <w:r>
        <w:rPr>
          <w:rFonts w:hint="eastAsia" w:ascii="Times New Roman" w:hAnsi="Times New Roman" w:cs="Times New Roman"/>
          <w:b/>
          <w:color w:val="000000" w:themeColor="text1"/>
          <w:kern w:val="2"/>
          <w:sz w:val="21"/>
          <w:szCs w:val="21"/>
          <w14:textFill>
            <w14:solidFill>
              <w14:schemeClr w14:val="tx1"/>
            </w14:solidFill>
          </w14:textFill>
        </w:rPr>
        <w:t>3</w:t>
      </w:r>
      <w:r>
        <w:rPr>
          <w:rFonts w:ascii="Times New Roman" w:hAnsi="Times New Roman" w:cs="Times New Roman"/>
          <w:b/>
          <w:color w:val="000000" w:themeColor="text1"/>
          <w:kern w:val="2"/>
          <w:sz w:val="21"/>
          <w:szCs w:val="21"/>
          <w14:textFill>
            <w14:solidFill>
              <w14:schemeClr w14:val="tx1"/>
            </w14:solidFill>
          </w14:textFill>
        </w:rPr>
        <w:t xml:space="preserve">  2020-2021学年教师培养培训具体情况统计</w:t>
      </w:r>
      <w:r>
        <w:rPr>
          <w:rFonts w:hint="eastAsia" w:ascii="Times New Roman" w:hAnsi="Times New Roman" w:cs="Times New Roman"/>
          <w:b/>
          <w:color w:val="000000" w:themeColor="text1"/>
          <w:kern w:val="2"/>
          <w:sz w:val="21"/>
          <w:szCs w:val="21"/>
          <w:lang w:eastAsia="zh-CN"/>
          <w14:textFill>
            <w14:solidFill>
              <w14:schemeClr w14:val="tx1"/>
            </w14:solidFill>
          </w14:textFill>
        </w:rPr>
        <w:t>（</w:t>
      </w:r>
      <w:r>
        <w:rPr>
          <w:rFonts w:hint="eastAsia" w:ascii="Times New Roman" w:hAnsi="Times New Roman" w:cs="Times New Roman"/>
          <w:b/>
          <w:color w:val="000000" w:themeColor="text1"/>
          <w:kern w:val="2"/>
          <w:sz w:val="21"/>
          <w:szCs w:val="21"/>
          <w:lang w:val="en-US" w:eastAsia="zh-CN"/>
          <w14:textFill>
            <w14:solidFill>
              <w14:schemeClr w14:val="tx1"/>
            </w14:solidFill>
          </w14:textFill>
        </w:rPr>
        <w:t>部分</w:t>
      </w:r>
      <w:r>
        <w:rPr>
          <w:rFonts w:hint="eastAsia" w:ascii="Times New Roman" w:hAnsi="Times New Roman" w:cs="Times New Roman"/>
          <w:b/>
          <w:color w:val="000000" w:themeColor="text1"/>
          <w:kern w:val="2"/>
          <w:sz w:val="21"/>
          <w:szCs w:val="21"/>
          <w:lang w:eastAsia="zh-CN"/>
          <w14:textFill>
            <w14:solidFill>
              <w14:schemeClr w14:val="tx1"/>
            </w14:solidFill>
          </w14:textFill>
        </w:rPr>
        <w:t>）</w:t>
      </w:r>
    </w:p>
    <w:tbl>
      <w:tblPr>
        <w:tblStyle w:val="17"/>
        <w:tblW w:w="497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5" w:type="dxa"/>
          <w:left w:w="15" w:type="dxa"/>
          <w:bottom w:w="15" w:type="dxa"/>
          <w:right w:w="15" w:type="dxa"/>
        </w:tblCellMar>
      </w:tblPr>
      <w:tblGrid>
        <w:gridCol w:w="492"/>
        <w:gridCol w:w="4171"/>
        <w:gridCol w:w="1833"/>
        <w:gridCol w:w="914"/>
        <w:gridCol w:w="88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tblHeader/>
          <w:jc w:val="center"/>
        </w:trPr>
        <w:tc>
          <w:tcPr>
            <w:tcW w:w="297" w:type="pct"/>
            <w:shd w:val="clear" w:color="auto" w:fill="C7DAF1" w:themeFill="text2" w:themeFillTint="32"/>
            <w:noWrap w:val="0"/>
            <w:vAlign w:val="center"/>
          </w:tcPr>
          <w:p>
            <w:pPr>
              <w:widowControl/>
              <w:jc w:val="center"/>
              <w:textAlignment w:val="center"/>
              <w:rPr>
                <w:rFonts w:ascii="Times New Roman" w:hAnsi="Times New Roman"/>
                <w:b/>
                <w:bCs/>
                <w:color w:val="auto"/>
                <w:szCs w:val="21"/>
              </w:rPr>
            </w:pPr>
            <w:r>
              <w:rPr>
                <w:rFonts w:ascii="Times New Roman" w:hAnsi="Times New Roman"/>
                <w:b/>
                <w:bCs/>
                <w:color w:val="auto"/>
                <w:szCs w:val="21"/>
              </w:rPr>
              <w:t>序号</w:t>
            </w:r>
          </w:p>
        </w:tc>
        <w:tc>
          <w:tcPr>
            <w:tcW w:w="2515" w:type="pct"/>
            <w:shd w:val="clear" w:color="auto" w:fill="C7DAF1" w:themeFill="text2" w:themeFillTint="32"/>
            <w:noWrap w:val="0"/>
            <w:vAlign w:val="center"/>
          </w:tcPr>
          <w:p>
            <w:pPr>
              <w:widowControl/>
              <w:jc w:val="center"/>
              <w:textAlignment w:val="center"/>
              <w:rPr>
                <w:rFonts w:ascii="Times New Roman" w:hAnsi="Times New Roman"/>
                <w:b/>
                <w:bCs/>
                <w:color w:val="auto"/>
                <w:szCs w:val="21"/>
              </w:rPr>
            </w:pPr>
            <w:r>
              <w:rPr>
                <w:rFonts w:ascii="Times New Roman" w:hAnsi="Times New Roman"/>
                <w:b/>
                <w:bCs/>
                <w:color w:val="auto"/>
                <w:kern w:val="0"/>
                <w:szCs w:val="21"/>
              </w:rPr>
              <w:t>培训名称</w:t>
            </w:r>
          </w:p>
        </w:tc>
        <w:tc>
          <w:tcPr>
            <w:tcW w:w="1105" w:type="pct"/>
            <w:shd w:val="clear" w:color="auto" w:fill="C7DAF1" w:themeFill="text2" w:themeFillTint="32"/>
            <w:noWrap w:val="0"/>
            <w:vAlign w:val="center"/>
          </w:tcPr>
          <w:p>
            <w:pPr>
              <w:widowControl/>
              <w:jc w:val="center"/>
              <w:textAlignment w:val="center"/>
              <w:rPr>
                <w:rFonts w:ascii="Times New Roman" w:hAnsi="Times New Roman"/>
                <w:b/>
                <w:bCs/>
                <w:color w:val="auto"/>
                <w:szCs w:val="21"/>
              </w:rPr>
            </w:pPr>
            <w:r>
              <w:rPr>
                <w:rFonts w:ascii="Times New Roman" w:hAnsi="Times New Roman"/>
                <w:b/>
                <w:bCs/>
                <w:color w:val="auto"/>
                <w:kern w:val="0"/>
                <w:szCs w:val="21"/>
              </w:rPr>
              <w:t>培训地点</w:t>
            </w:r>
          </w:p>
        </w:tc>
        <w:tc>
          <w:tcPr>
            <w:tcW w:w="551" w:type="pct"/>
            <w:shd w:val="clear" w:color="auto" w:fill="C7DAF1" w:themeFill="text2" w:themeFillTint="32"/>
            <w:noWrap w:val="0"/>
            <w:vAlign w:val="center"/>
          </w:tcPr>
          <w:p>
            <w:pPr>
              <w:widowControl/>
              <w:jc w:val="center"/>
              <w:textAlignment w:val="center"/>
              <w:rPr>
                <w:rFonts w:ascii="Times New Roman" w:hAnsi="Times New Roman"/>
                <w:b/>
                <w:bCs/>
                <w:color w:val="auto"/>
                <w:kern w:val="0"/>
                <w:szCs w:val="21"/>
              </w:rPr>
            </w:pPr>
            <w:r>
              <w:rPr>
                <w:rFonts w:ascii="Times New Roman" w:hAnsi="Times New Roman"/>
                <w:b/>
                <w:bCs/>
                <w:color w:val="auto"/>
                <w:kern w:val="0"/>
                <w:szCs w:val="21"/>
              </w:rPr>
              <w:t>参培人数</w:t>
            </w:r>
            <w:r>
              <w:rPr>
                <w:rFonts w:hint="eastAsia" w:ascii="Times New Roman" w:hAnsi="Times New Roman"/>
                <w:b/>
                <w:bCs/>
                <w:color w:val="auto"/>
                <w:kern w:val="0"/>
                <w:szCs w:val="21"/>
              </w:rPr>
              <w:t>（人）</w:t>
            </w:r>
          </w:p>
        </w:tc>
        <w:tc>
          <w:tcPr>
            <w:tcW w:w="531" w:type="pct"/>
            <w:shd w:val="clear" w:color="auto" w:fill="C7DAF1" w:themeFill="text2" w:themeFillTint="32"/>
            <w:noWrap w:val="0"/>
            <w:vAlign w:val="center"/>
          </w:tcPr>
          <w:p>
            <w:pPr>
              <w:widowControl/>
              <w:jc w:val="center"/>
              <w:textAlignment w:val="center"/>
              <w:rPr>
                <w:rFonts w:ascii="Times New Roman" w:hAnsi="Times New Roman"/>
                <w:b/>
                <w:bCs/>
                <w:color w:val="auto"/>
                <w:kern w:val="0"/>
                <w:szCs w:val="21"/>
              </w:rPr>
            </w:pPr>
            <w:r>
              <w:rPr>
                <w:rFonts w:ascii="Times New Roman" w:hAnsi="Times New Roman"/>
                <w:b/>
                <w:bCs/>
                <w:color w:val="auto"/>
                <w:kern w:val="0"/>
                <w:szCs w:val="21"/>
              </w:rPr>
              <w:t>培训天数</w:t>
            </w:r>
            <w:r>
              <w:rPr>
                <w:rFonts w:hint="eastAsia" w:ascii="Times New Roman" w:hAnsi="Times New Roman"/>
                <w:b/>
                <w:bCs/>
                <w:color w:val="auto"/>
                <w:kern w:val="0"/>
                <w:szCs w:val="21"/>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1</w:t>
            </w:r>
          </w:p>
        </w:tc>
        <w:tc>
          <w:tcPr>
            <w:tcW w:w="251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left"/>
              <w:rPr>
                <w:color w:val="auto"/>
                <w:kern w:val="0"/>
                <w:sz w:val="21"/>
                <w:szCs w:val="21"/>
              </w:rPr>
            </w:pPr>
            <w:r>
              <w:rPr>
                <w:rFonts w:hint="eastAsia"/>
                <w:color w:val="auto"/>
                <w:sz w:val="21"/>
                <w:szCs w:val="21"/>
              </w:rPr>
              <w:t>青海省高职公共课—思想政治课教师研修</w:t>
            </w:r>
          </w:p>
        </w:tc>
        <w:tc>
          <w:tcPr>
            <w:tcW w:w="1105" w:type="pct"/>
            <w:tcBorders>
              <w:top w:val="single" w:color="auto" w:sz="4" w:space="0"/>
              <w:left w:val="single" w:color="auto" w:sz="4" w:space="0"/>
              <w:bottom w:val="single" w:color="auto" w:sz="4" w:space="0"/>
              <w:right w:val="single" w:color="auto" w:sz="4" w:space="0"/>
            </w:tcBorders>
            <w:shd w:val="clear" w:color="auto" w:fill="auto"/>
            <w:noWrap w:val="0"/>
            <w:vAlign w:val="center"/>
          </w:tcPr>
          <w:p>
            <w:pPr>
              <w:widowControl/>
              <w:jc w:val="center"/>
              <w:rPr>
                <w:color w:val="auto"/>
                <w:kern w:val="0"/>
                <w:sz w:val="21"/>
                <w:szCs w:val="21"/>
              </w:rPr>
            </w:pPr>
            <w:r>
              <w:rPr>
                <w:rFonts w:hint="eastAsia"/>
                <w:color w:val="auto"/>
                <w:sz w:val="21"/>
                <w:szCs w:val="21"/>
              </w:rPr>
              <w:t>湖南农业大学</w:t>
            </w:r>
          </w:p>
        </w:tc>
        <w:tc>
          <w:tcPr>
            <w:tcW w:w="551"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3</w:t>
            </w:r>
          </w:p>
        </w:tc>
        <w:tc>
          <w:tcPr>
            <w:tcW w:w="531" w:type="pct"/>
            <w:tcBorders>
              <w:top w:val="single" w:color="auto" w:sz="4" w:space="0"/>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2</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color w:val="auto"/>
                <w:sz w:val="21"/>
                <w:szCs w:val="21"/>
              </w:rPr>
            </w:pPr>
            <w:r>
              <w:rPr>
                <w:rFonts w:hint="eastAsia"/>
                <w:color w:val="auto"/>
                <w:sz w:val="21"/>
                <w:szCs w:val="21"/>
              </w:rPr>
              <w:t>青海省中职专业带头人领军能力研修—电子技术应用</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常州机电职业技术学院</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1</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3</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color w:val="auto"/>
                <w:sz w:val="21"/>
                <w:szCs w:val="21"/>
              </w:rPr>
            </w:pPr>
            <w:r>
              <w:rPr>
                <w:rFonts w:hint="eastAsia"/>
                <w:color w:val="auto"/>
                <w:sz w:val="21"/>
                <w:szCs w:val="21"/>
              </w:rPr>
              <w:t>青海省2019年中职德育培训</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河北师范大学职业技术学院</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1</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4</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color w:val="auto"/>
                <w:sz w:val="21"/>
                <w:szCs w:val="21"/>
              </w:rPr>
            </w:pPr>
            <w:r>
              <w:rPr>
                <w:rFonts w:hint="eastAsia"/>
                <w:color w:val="auto"/>
                <w:sz w:val="21"/>
                <w:szCs w:val="21"/>
              </w:rPr>
              <w:t>青海省2019年度职业院校教师素质提升计划“双师型”教师专业技能培训—机电技术系应用</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江苏理工学院</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2</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5</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color w:val="auto"/>
                <w:sz w:val="21"/>
                <w:szCs w:val="21"/>
              </w:rPr>
            </w:pPr>
            <w:r>
              <w:rPr>
                <w:rFonts w:hint="eastAsia"/>
                <w:color w:val="auto"/>
                <w:sz w:val="21"/>
                <w:szCs w:val="21"/>
              </w:rPr>
              <w:t>青海省2019年度教师企业实践—工业机器人</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洛阳牡丹通讯股份有限公司</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2</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6</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color w:val="auto"/>
                <w:sz w:val="21"/>
                <w:szCs w:val="21"/>
              </w:rPr>
            </w:pPr>
            <w:r>
              <w:rPr>
                <w:rFonts w:hint="eastAsia"/>
                <w:color w:val="auto"/>
                <w:sz w:val="21"/>
                <w:szCs w:val="21"/>
              </w:rPr>
              <w:t>青海省教师企业实践—高职物联网工程技术</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洛阳牡丹通讯股份有限公司</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1</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7</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color w:val="auto"/>
                <w:sz w:val="21"/>
                <w:szCs w:val="21"/>
              </w:rPr>
            </w:pPr>
            <w:r>
              <w:rPr>
                <w:rFonts w:hint="eastAsia"/>
                <w:color w:val="auto"/>
                <w:sz w:val="21"/>
                <w:szCs w:val="21"/>
              </w:rPr>
              <w:t>青海省计算机网络技术“双师型”教师专业技能培训</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山西华兴科软有限公司</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15</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8</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color w:val="auto"/>
                <w:sz w:val="21"/>
                <w:szCs w:val="21"/>
              </w:rPr>
            </w:pPr>
            <w:r>
              <w:rPr>
                <w:rFonts w:hint="eastAsia"/>
                <w:color w:val="auto"/>
                <w:sz w:val="21"/>
                <w:szCs w:val="21"/>
              </w:rPr>
              <w:t>医学系合作医院外聘专家教学能力提升培训</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扬州大学护理学院</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10</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9</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color w:val="auto"/>
                <w:sz w:val="21"/>
                <w:szCs w:val="21"/>
              </w:rPr>
            </w:pPr>
            <w:r>
              <w:rPr>
                <w:rFonts w:hint="eastAsia"/>
                <w:color w:val="auto"/>
                <w:sz w:val="21"/>
                <w:szCs w:val="21"/>
              </w:rPr>
              <w:t>医学系教师临床实践能力提升培训</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江苏省兴化市人民医院</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16</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1</w:t>
            </w:r>
            <w:r>
              <w:rPr>
                <w:rFonts w:ascii="Times New Roman" w:hAnsi="Times New Roman"/>
                <w:color w:val="auto"/>
                <w:szCs w:val="21"/>
              </w:rPr>
              <w:t>0</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color w:val="auto"/>
                <w:sz w:val="21"/>
                <w:szCs w:val="21"/>
              </w:rPr>
            </w:pPr>
            <w:r>
              <w:rPr>
                <w:rFonts w:hint="eastAsia"/>
                <w:color w:val="auto"/>
                <w:sz w:val="21"/>
                <w:szCs w:val="21"/>
              </w:rPr>
              <w:t>汽修1+X职业技能等级证书师资培训班</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青海交通职院</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3</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1</w:t>
            </w:r>
            <w:r>
              <w:rPr>
                <w:rFonts w:ascii="Times New Roman" w:hAnsi="Times New Roman"/>
                <w:color w:val="auto"/>
                <w:szCs w:val="21"/>
              </w:rPr>
              <w:t>1</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color w:val="auto"/>
                <w:sz w:val="21"/>
                <w:szCs w:val="21"/>
              </w:rPr>
            </w:pPr>
            <w:r>
              <w:rPr>
                <w:rFonts w:hint="eastAsia"/>
                <w:color w:val="auto"/>
                <w:sz w:val="21"/>
                <w:szCs w:val="21"/>
              </w:rPr>
              <w:t>化工类实习课程高级研修班</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甘肃省兰州新区职教园区</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35</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1</w:t>
            </w:r>
            <w:r>
              <w:rPr>
                <w:rFonts w:ascii="Times New Roman" w:hAnsi="Times New Roman"/>
                <w:color w:val="auto"/>
                <w:szCs w:val="21"/>
              </w:rPr>
              <w:t>2</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color w:val="auto"/>
                <w:sz w:val="21"/>
                <w:szCs w:val="21"/>
              </w:rPr>
            </w:pPr>
            <w:r>
              <w:rPr>
                <w:rFonts w:hint="eastAsia"/>
                <w:color w:val="auto"/>
                <w:sz w:val="21"/>
                <w:szCs w:val="21"/>
              </w:rPr>
              <w:t>电力系统、工业控制、工业仪表、工业机器人、数控铣床高级工考试培训班</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甘肃省兰州新区职教园区</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28</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1</w:t>
            </w:r>
            <w:r>
              <w:rPr>
                <w:rFonts w:ascii="Times New Roman" w:hAnsi="Times New Roman"/>
                <w:color w:val="auto"/>
                <w:szCs w:val="21"/>
              </w:rPr>
              <w:t>3</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color w:val="auto"/>
                <w:sz w:val="21"/>
                <w:szCs w:val="21"/>
              </w:rPr>
            </w:pPr>
            <w:r>
              <w:rPr>
                <w:rFonts w:hint="eastAsia"/>
                <w:color w:val="auto"/>
                <w:sz w:val="21"/>
                <w:szCs w:val="21"/>
              </w:rPr>
              <w:t>母婴护理师资与考评员培训</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济南</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8</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1</w:t>
            </w:r>
            <w:r>
              <w:rPr>
                <w:rFonts w:ascii="Times New Roman" w:hAnsi="Times New Roman"/>
                <w:color w:val="auto"/>
                <w:szCs w:val="21"/>
              </w:rPr>
              <w:t>4</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color w:val="auto"/>
                <w:sz w:val="21"/>
                <w:szCs w:val="21"/>
              </w:rPr>
            </w:pPr>
            <w:r>
              <w:rPr>
                <w:rFonts w:hint="eastAsia"/>
                <w:color w:val="auto"/>
                <w:sz w:val="21"/>
                <w:szCs w:val="21"/>
              </w:rPr>
              <w:t>新教师岗前培训</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本校</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39</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1</w:t>
            </w:r>
            <w:r>
              <w:rPr>
                <w:rFonts w:ascii="Times New Roman" w:hAnsi="Times New Roman"/>
                <w:color w:val="auto"/>
                <w:szCs w:val="21"/>
              </w:rPr>
              <w:t>5</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color w:val="auto"/>
                <w:sz w:val="21"/>
                <w:szCs w:val="21"/>
              </w:rPr>
            </w:pPr>
            <w:r>
              <w:rPr>
                <w:rFonts w:hint="eastAsia"/>
                <w:color w:val="auto"/>
                <w:sz w:val="21"/>
                <w:szCs w:val="21"/>
              </w:rPr>
              <w:t>中等职业学校的中高层管理人员培训</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电子科技大学九里堤校区</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2</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1</w:t>
            </w:r>
            <w:r>
              <w:rPr>
                <w:rFonts w:ascii="Times New Roman" w:hAnsi="Times New Roman"/>
                <w:color w:val="auto"/>
                <w:szCs w:val="21"/>
              </w:rPr>
              <w:t>6</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color w:val="auto"/>
                <w:sz w:val="21"/>
                <w:szCs w:val="21"/>
              </w:rPr>
            </w:pPr>
            <w:r>
              <w:rPr>
                <w:rFonts w:hint="eastAsia"/>
                <w:color w:val="auto"/>
                <w:sz w:val="21"/>
                <w:szCs w:val="21"/>
              </w:rPr>
              <w:t xml:space="preserve">高职院校管理人员培训 </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同济大学职业技术教育学院</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2</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1</w:t>
            </w:r>
            <w:r>
              <w:rPr>
                <w:rFonts w:ascii="Times New Roman" w:hAnsi="Times New Roman"/>
                <w:color w:val="auto"/>
                <w:szCs w:val="21"/>
              </w:rPr>
              <w:t>7</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color w:val="auto"/>
                <w:sz w:val="21"/>
                <w:szCs w:val="21"/>
              </w:rPr>
            </w:pPr>
            <w:r>
              <w:rPr>
                <w:rFonts w:hint="eastAsia"/>
                <w:color w:val="auto"/>
                <w:sz w:val="21"/>
                <w:szCs w:val="21"/>
              </w:rPr>
              <w:t>“双师型”教师专业技能培训—护理中职</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 xml:space="preserve">扬州大学  </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6</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1</w:t>
            </w:r>
            <w:r>
              <w:rPr>
                <w:rFonts w:ascii="Times New Roman" w:hAnsi="Times New Roman"/>
                <w:color w:val="auto"/>
                <w:szCs w:val="21"/>
              </w:rPr>
              <w:t>8</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color w:val="auto"/>
                <w:sz w:val="21"/>
                <w:szCs w:val="21"/>
              </w:rPr>
            </w:pPr>
            <w:r>
              <w:rPr>
                <w:rFonts w:hint="eastAsia"/>
                <w:color w:val="auto"/>
                <w:sz w:val="21"/>
                <w:szCs w:val="21"/>
              </w:rPr>
              <w:t>“双师型”教师专业技能培训—护理高职</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 xml:space="preserve">扬州大学  </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1</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1</w:t>
            </w:r>
            <w:r>
              <w:rPr>
                <w:rFonts w:ascii="Times New Roman" w:hAnsi="Times New Roman"/>
                <w:color w:val="auto"/>
                <w:szCs w:val="21"/>
              </w:rPr>
              <w:t>9</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eastAsia="宋体"/>
                <w:color w:val="auto"/>
                <w:sz w:val="21"/>
                <w:szCs w:val="21"/>
                <w:lang w:eastAsia="zh-CN"/>
              </w:rPr>
            </w:pPr>
            <w:r>
              <w:rPr>
                <w:rFonts w:hint="eastAsia"/>
                <w:color w:val="auto"/>
                <w:sz w:val="21"/>
                <w:szCs w:val="21"/>
              </w:rPr>
              <w:t>关于举办体育美育教师技能与素养提升</w:t>
            </w:r>
          </w:p>
          <w:p>
            <w:pPr>
              <w:rPr>
                <w:rFonts w:hint="eastAsia"/>
                <w:color w:val="auto"/>
                <w:sz w:val="21"/>
                <w:szCs w:val="21"/>
              </w:rPr>
            </w:pPr>
            <w:r>
              <w:rPr>
                <w:rFonts w:hint="eastAsia"/>
                <w:color w:val="auto"/>
                <w:sz w:val="21"/>
                <w:szCs w:val="21"/>
              </w:rPr>
              <w:t>培训班</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eastAsia="宋体"/>
                <w:color w:val="auto"/>
                <w:sz w:val="21"/>
                <w:szCs w:val="21"/>
                <w:lang w:eastAsia="zh-CN"/>
              </w:rPr>
            </w:pPr>
            <w:r>
              <w:rPr>
                <w:rFonts w:hint="eastAsia"/>
                <w:color w:val="auto"/>
                <w:sz w:val="21"/>
                <w:szCs w:val="21"/>
              </w:rPr>
              <w:t>陕西师范大学学术活动中心培训</w:t>
            </w:r>
          </w:p>
          <w:p>
            <w:pPr>
              <w:jc w:val="center"/>
              <w:rPr>
                <w:rFonts w:hint="eastAsia"/>
                <w:color w:val="auto"/>
                <w:sz w:val="21"/>
                <w:szCs w:val="21"/>
              </w:rPr>
            </w:pPr>
            <w:r>
              <w:rPr>
                <w:rFonts w:hint="eastAsia"/>
                <w:color w:val="auto"/>
                <w:sz w:val="21"/>
                <w:szCs w:val="21"/>
              </w:rPr>
              <w:t>浙江师范大学音乐学院培训</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2</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atLeast"/>
          <w:jc w:val="center"/>
        </w:trPr>
        <w:tc>
          <w:tcPr>
            <w:tcW w:w="297" w:type="pct"/>
            <w:shd w:val="clear" w:color="auto" w:fill="auto"/>
            <w:noWrap w:val="0"/>
            <w:vAlign w:val="center"/>
          </w:tcPr>
          <w:p>
            <w:pPr>
              <w:widowControl/>
              <w:jc w:val="center"/>
              <w:textAlignment w:val="center"/>
              <w:rPr>
                <w:rFonts w:ascii="Times New Roman" w:hAnsi="Times New Roman"/>
                <w:color w:val="auto"/>
                <w:szCs w:val="21"/>
              </w:rPr>
            </w:pPr>
            <w:r>
              <w:rPr>
                <w:rFonts w:hint="eastAsia" w:ascii="Times New Roman" w:hAnsi="Times New Roman"/>
                <w:color w:val="auto"/>
                <w:szCs w:val="21"/>
              </w:rPr>
              <w:t>2</w:t>
            </w:r>
            <w:r>
              <w:rPr>
                <w:rFonts w:ascii="Times New Roman" w:hAnsi="Times New Roman"/>
                <w:color w:val="auto"/>
                <w:szCs w:val="21"/>
              </w:rPr>
              <w:t>0</w:t>
            </w:r>
          </w:p>
        </w:tc>
        <w:tc>
          <w:tcPr>
            <w:tcW w:w="2515" w:type="pct"/>
            <w:tcBorders>
              <w:top w:val="nil"/>
              <w:left w:val="single" w:color="auto" w:sz="4" w:space="0"/>
              <w:bottom w:val="single" w:color="auto" w:sz="4" w:space="0"/>
              <w:right w:val="single" w:color="auto" w:sz="4" w:space="0"/>
            </w:tcBorders>
            <w:shd w:val="clear" w:color="auto" w:fill="auto"/>
            <w:noWrap w:val="0"/>
            <w:vAlign w:val="center"/>
          </w:tcPr>
          <w:p>
            <w:pPr>
              <w:rPr>
                <w:rFonts w:hint="eastAsia"/>
                <w:color w:val="auto"/>
                <w:sz w:val="21"/>
                <w:szCs w:val="21"/>
              </w:rPr>
            </w:pPr>
            <w:r>
              <w:rPr>
                <w:rFonts w:hint="eastAsia"/>
                <w:color w:val="auto"/>
                <w:sz w:val="21"/>
                <w:szCs w:val="21"/>
              </w:rPr>
              <w:t>2021年海西州新时代教师队伍建设全员网络培训</w:t>
            </w:r>
          </w:p>
        </w:tc>
        <w:tc>
          <w:tcPr>
            <w:tcW w:w="1105" w:type="pct"/>
            <w:tcBorders>
              <w:top w:val="nil"/>
              <w:left w:val="single" w:color="auto" w:sz="4" w:space="0"/>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网络培训</w:t>
            </w:r>
          </w:p>
        </w:tc>
        <w:tc>
          <w:tcPr>
            <w:tcW w:w="55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5</w:t>
            </w:r>
          </w:p>
        </w:tc>
        <w:tc>
          <w:tcPr>
            <w:tcW w:w="531" w:type="pct"/>
            <w:tcBorders>
              <w:top w:val="nil"/>
              <w:left w:val="nil"/>
              <w:bottom w:val="single" w:color="auto" w:sz="4" w:space="0"/>
              <w:right w:val="single" w:color="auto" w:sz="4" w:space="0"/>
            </w:tcBorders>
            <w:shd w:val="clear" w:color="auto" w:fill="auto"/>
            <w:noWrap w:val="0"/>
            <w:vAlign w:val="center"/>
          </w:tcPr>
          <w:p>
            <w:pPr>
              <w:jc w:val="center"/>
              <w:rPr>
                <w:rFonts w:hint="eastAsia"/>
                <w:color w:val="auto"/>
                <w:sz w:val="21"/>
                <w:szCs w:val="21"/>
              </w:rPr>
            </w:pPr>
            <w:r>
              <w:rPr>
                <w:rFonts w:hint="eastAsia"/>
                <w:color w:val="auto"/>
                <w:sz w:val="21"/>
                <w:szCs w:val="21"/>
              </w:rPr>
              <w:t>64</w:t>
            </w:r>
          </w:p>
        </w:tc>
      </w:tr>
    </w:tbl>
    <w:p>
      <w:pPr>
        <w:pStyle w:val="34"/>
        <w:ind w:firstLine="562"/>
        <w:rPr>
          <w:rFonts w:ascii="Times New Roman" w:hAnsi="Times New Roman" w:cs="Times New Roman"/>
          <w:b/>
        </w:rPr>
      </w:pPr>
      <w:r>
        <w:rPr>
          <w:rFonts w:ascii="Times New Roman" w:hAnsi="Times New Roman" w:cs="Times New Roman"/>
          <w:b/>
        </w:rPr>
        <w:t>3.教师教科研成果</w:t>
      </w:r>
    </w:p>
    <w:p>
      <w:pPr>
        <w:pStyle w:val="28"/>
        <w:spacing w:line="300" w:lineRule="auto"/>
        <w:ind w:firstLine="480" w:firstLineChars="200"/>
        <w:rPr>
          <w:rFonts w:ascii="Times New Roman" w:hAnsi="Times New Roman" w:cs="Times New Roman"/>
          <w:szCs w:val="28"/>
        </w:rPr>
      </w:pPr>
      <w:r>
        <w:rPr>
          <w:rFonts w:hint="eastAsia" w:ascii="Times New Roman" w:hAnsi="Times New Roman" w:cs="Times New Roman"/>
          <w:szCs w:val="28"/>
        </w:rPr>
        <w:t>20</w:t>
      </w:r>
      <w:r>
        <w:rPr>
          <w:rFonts w:hint="default" w:ascii="Times New Roman" w:hAnsi="Times New Roman" w:cs="Times New Roman"/>
          <w:szCs w:val="28"/>
        </w:rPr>
        <w:t>20-2021</w:t>
      </w:r>
      <w:r>
        <w:rPr>
          <w:rFonts w:hint="eastAsia" w:ascii="Times New Roman" w:hAnsi="Times New Roman" w:cs="Times New Roman"/>
          <w:szCs w:val="28"/>
        </w:rPr>
        <w:t>学年，学校</w:t>
      </w:r>
      <w:r>
        <w:rPr>
          <w:rFonts w:hint="eastAsia" w:ascii="Times New Roman" w:hAnsi="Times New Roman" w:cs="Times New Roman"/>
          <w:szCs w:val="28"/>
          <w:lang w:val="en-US" w:eastAsia="zh-Hans"/>
        </w:rPr>
        <w:t>严格落实</w:t>
      </w:r>
      <w:r>
        <w:rPr>
          <w:rFonts w:hint="eastAsia" w:ascii="Times New Roman" w:hAnsi="Times New Roman" w:cs="Times New Roman"/>
          <w:szCs w:val="28"/>
        </w:rPr>
        <w:t>科研工作管理制度，</w:t>
      </w:r>
      <w:r>
        <w:rPr>
          <w:rFonts w:hint="eastAsia" w:ascii="Times New Roman" w:hAnsi="Times New Roman" w:cs="Times New Roman"/>
          <w:szCs w:val="28"/>
          <w:lang w:val="en-US" w:eastAsia="zh-Hans"/>
        </w:rPr>
        <w:t>认真执行</w:t>
      </w:r>
      <w:r>
        <w:rPr>
          <w:rFonts w:hint="eastAsia" w:ascii="Times New Roman" w:hAnsi="Times New Roman" w:cs="Times New Roman"/>
          <w:szCs w:val="28"/>
        </w:rPr>
        <w:t>《科研工作管理办法（暂行）》《科研成果资助、奖励办法（试行）》，</w:t>
      </w:r>
      <w:r>
        <w:rPr>
          <w:rFonts w:hint="eastAsia" w:ascii="Times New Roman" w:hAnsi="Times New Roman" w:cs="Times New Roman"/>
          <w:szCs w:val="28"/>
          <w:lang w:val="en-US" w:eastAsia="zh-Hans"/>
        </w:rPr>
        <w:t>激发</w:t>
      </w:r>
      <w:r>
        <w:rPr>
          <w:rFonts w:hint="eastAsia" w:ascii="Times New Roman" w:hAnsi="Times New Roman" w:cs="Times New Roman"/>
          <w:szCs w:val="28"/>
        </w:rPr>
        <w:t>了教师开展科研活动的积极性，</w:t>
      </w:r>
      <w:r>
        <w:rPr>
          <w:rFonts w:hint="default" w:ascii="Times New Roman" w:hAnsi="Times New Roman" w:cs="Times New Roman"/>
          <w:szCs w:val="28"/>
        </w:rPr>
        <w:t>2020-2021</w:t>
      </w:r>
      <w:r>
        <w:rPr>
          <w:rFonts w:hint="eastAsia" w:ascii="Times New Roman" w:hAnsi="Times New Roman" w:cs="Times New Roman"/>
          <w:szCs w:val="28"/>
        </w:rPr>
        <w:t>学年，</w:t>
      </w:r>
      <w:r>
        <w:rPr>
          <w:rFonts w:hint="eastAsia" w:ascii="Times New Roman" w:hAnsi="Times New Roman" w:cs="Times New Roman"/>
          <w:szCs w:val="28"/>
          <w:lang w:val="en-US" w:eastAsia="zh-Hans"/>
        </w:rPr>
        <w:t>研究成果获奖</w:t>
      </w:r>
      <w:r>
        <w:rPr>
          <w:rFonts w:hint="default" w:ascii="Times New Roman" w:hAnsi="Times New Roman" w:cs="Times New Roman"/>
          <w:szCs w:val="28"/>
          <w:lang w:eastAsia="zh-Hans"/>
        </w:rPr>
        <w:t>5</w:t>
      </w:r>
      <w:r>
        <w:rPr>
          <w:rFonts w:hint="eastAsia" w:ascii="Times New Roman" w:hAnsi="Times New Roman" w:cs="Times New Roman"/>
          <w:szCs w:val="28"/>
          <w:lang w:val="en-US" w:eastAsia="zh-Hans"/>
        </w:rPr>
        <w:t>项</w:t>
      </w:r>
      <w:r>
        <w:rPr>
          <w:rFonts w:hint="eastAsia" w:ascii="Times New Roman" w:hAnsi="Times New Roman" w:cs="Times New Roman"/>
          <w:szCs w:val="28"/>
        </w:rPr>
        <w:t>（见表3-5），</w:t>
      </w:r>
      <w:r>
        <w:rPr>
          <w:rFonts w:ascii="Times New Roman" w:hAnsi="Times New Roman" w:cs="Times New Roman"/>
          <w:szCs w:val="28"/>
        </w:rPr>
        <w:t>公开发表论文</w:t>
      </w:r>
      <w:r>
        <w:rPr>
          <w:rFonts w:hint="default" w:ascii="Times New Roman" w:hAnsi="Times New Roman" w:cs="Times New Roman"/>
          <w:szCs w:val="28"/>
        </w:rPr>
        <w:t>36</w:t>
      </w:r>
      <w:r>
        <w:rPr>
          <w:rFonts w:ascii="Times New Roman" w:hAnsi="Times New Roman" w:cs="Times New Roman"/>
          <w:szCs w:val="28"/>
        </w:rPr>
        <w:t>篇</w:t>
      </w:r>
      <w:r>
        <w:rPr>
          <w:rFonts w:hint="eastAsia" w:ascii="Times New Roman" w:hAnsi="Times New Roman" w:cs="Times New Roman"/>
          <w:szCs w:val="28"/>
        </w:rPr>
        <w:t>（见表3-</w:t>
      </w:r>
      <w:r>
        <w:rPr>
          <w:rFonts w:ascii="Times New Roman" w:hAnsi="Times New Roman" w:cs="Times New Roman"/>
          <w:szCs w:val="28"/>
        </w:rPr>
        <w:t>6</w:t>
      </w:r>
      <w:r>
        <w:rPr>
          <w:rFonts w:hint="eastAsia" w:ascii="Times New Roman" w:hAnsi="Times New Roman" w:cs="Times New Roman"/>
          <w:szCs w:val="28"/>
        </w:rPr>
        <w:t>）。</w:t>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表3-</w:t>
      </w:r>
      <w:r>
        <w:rPr>
          <w:rFonts w:hint="eastAsia" w:ascii="Times New Roman" w:hAnsi="Times New Roman" w:cs="Times New Roman"/>
          <w:b/>
          <w:color w:val="000000" w:themeColor="text1"/>
          <w:kern w:val="2"/>
          <w:sz w:val="21"/>
          <w:szCs w:val="21"/>
          <w14:textFill>
            <w14:solidFill>
              <w14:schemeClr w14:val="tx1"/>
            </w14:solidFill>
          </w14:textFill>
        </w:rPr>
        <w:t>5</w:t>
      </w:r>
      <w:r>
        <w:rPr>
          <w:rFonts w:ascii="Times New Roman" w:hAnsi="Times New Roman" w:cs="Times New Roman"/>
          <w:b/>
          <w:color w:val="000000" w:themeColor="text1"/>
          <w:kern w:val="2"/>
          <w:sz w:val="21"/>
          <w:szCs w:val="21"/>
          <w14:textFill>
            <w14:solidFill>
              <w14:schemeClr w14:val="tx1"/>
            </w14:solidFill>
          </w14:textFill>
        </w:rPr>
        <w:t xml:space="preserve">  22020-2021学年</w:t>
      </w:r>
      <w:r>
        <w:rPr>
          <w:rFonts w:hint="eastAsia" w:ascii="Times New Roman" w:hAnsi="Times New Roman" w:cs="Times New Roman"/>
          <w:b/>
          <w:color w:val="000000" w:themeColor="text1"/>
          <w:kern w:val="2"/>
          <w:sz w:val="21"/>
          <w:szCs w:val="21"/>
          <w:lang w:val="en-US" w:eastAsia="zh-Hans"/>
          <w14:textFill>
            <w14:solidFill>
              <w14:schemeClr w14:val="tx1"/>
            </w14:solidFill>
          </w14:textFill>
        </w:rPr>
        <w:t>研究成果获奖统计</w:t>
      </w:r>
      <w:r>
        <w:rPr>
          <w:rFonts w:hint="eastAsia" w:ascii="Times New Roman" w:hAnsi="Times New Roman" w:cs="Times New Roman"/>
          <w:b/>
          <w:color w:val="000000" w:themeColor="text1"/>
          <w:kern w:val="2"/>
          <w:sz w:val="21"/>
          <w:szCs w:val="21"/>
          <w14:textFill>
            <w14:solidFill>
              <w14:schemeClr w14:val="tx1"/>
            </w14:solidFill>
          </w14:textFill>
        </w:rPr>
        <w:t>表</w:t>
      </w:r>
    </w:p>
    <w:tbl>
      <w:tblPr>
        <w:tblStyle w:val="17"/>
        <w:tblW w:w="8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8"/>
        <w:gridCol w:w="1862"/>
        <w:gridCol w:w="3337"/>
        <w:gridCol w:w="1189"/>
        <w:gridCol w:w="12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08" w:type="dxa"/>
            <w:shd w:val="clear" w:color="auto" w:fill="C6D9F0" w:themeFill="text2" w:themeFillTint="33"/>
            <w:vAlign w:val="center"/>
          </w:tcPr>
          <w:p>
            <w:pPr>
              <w:pStyle w:val="28"/>
              <w:spacing w:line="240" w:lineRule="auto"/>
              <w:ind w:firstLine="0"/>
              <w:jc w:val="center"/>
              <w:rPr>
                <w:rFonts w:hint="eastAsia" w:ascii="Times New Roman" w:hAnsi="Times New Roman" w:cs="Times New Roman"/>
                <w:b/>
                <w:kern w:val="0"/>
                <w:sz w:val="21"/>
                <w:szCs w:val="21"/>
              </w:rPr>
            </w:pPr>
            <w:r>
              <w:rPr>
                <w:rFonts w:hint="eastAsia" w:ascii="Times New Roman" w:hAnsi="Times New Roman" w:cs="Times New Roman"/>
                <w:b/>
                <w:kern w:val="0"/>
                <w:sz w:val="21"/>
                <w:szCs w:val="21"/>
              </w:rPr>
              <w:t>序号</w:t>
            </w:r>
          </w:p>
        </w:tc>
        <w:tc>
          <w:tcPr>
            <w:tcW w:w="1862" w:type="dxa"/>
            <w:shd w:val="clear" w:color="auto" w:fill="C6D9F0" w:themeFill="text2" w:themeFillTint="33"/>
            <w:vAlign w:val="center"/>
          </w:tcPr>
          <w:p>
            <w:pPr>
              <w:widowControl/>
              <w:jc w:val="center"/>
              <w:textAlignment w:val="center"/>
              <w:rPr>
                <w:rFonts w:hint="eastAsia" w:ascii="Times New Roman" w:hAnsi="Times New Roman"/>
                <w:b/>
                <w:kern w:val="0"/>
                <w:szCs w:val="21"/>
              </w:rPr>
            </w:pPr>
            <w:r>
              <w:rPr>
                <w:rFonts w:hint="eastAsia" w:ascii="Times New Roman" w:hAnsi="Times New Roman"/>
                <w:b/>
                <w:kern w:val="0"/>
                <w:szCs w:val="21"/>
                <w:lang w:val="en-US" w:eastAsia="zh-CN"/>
              </w:rPr>
              <w:t>姓名</w:t>
            </w:r>
          </w:p>
        </w:tc>
        <w:tc>
          <w:tcPr>
            <w:tcW w:w="3337" w:type="dxa"/>
            <w:shd w:val="clear" w:color="auto" w:fill="C6D9F0" w:themeFill="text2" w:themeFillTint="33"/>
            <w:vAlign w:val="center"/>
          </w:tcPr>
          <w:p>
            <w:pPr>
              <w:pStyle w:val="28"/>
              <w:spacing w:line="240" w:lineRule="auto"/>
              <w:ind w:firstLine="0" w:firstLineChars="0"/>
              <w:jc w:val="center"/>
              <w:rPr>
                <w:rFonts w:hint="eastAsia" w:ascii="Times New Roman" w:hAnsi="Times New Roman" w:cs="Times New Roman"/>
                <w:b/>
                <w:kern w:val="0"/>
                <w:sz w:val="21"/>
                <w:szCs w:val="21"/>
              </w:rPr>
            </w:pPr>
            <w:r>
              <w:rPr>
                <w:rFonts w:hint="eastAsia" w:ascii="Times New Roman" w:hAnsi="Times New Roman" w:cs="Times New Roman"/>
                <w:b/>
                <w:kern w:val="0"/>
                <w:sz w:val="21"/>
                <w:szCs w:val="21"/>
              </w:rPr>
              <w:t>获奖项目</w:t>
            </w:r>
          </w:p>
        </w:tc>
        <w:tc>
          <w:tcPr>
            <w:tcW w:w="1189" w:type="dxa"/>
            <w:shd w:val="clear" w:color="auto" w:fill="C6D9F0" w:themeFill="text2" w:themeFillTint="33"/>
            <w:vAlign w:val="center"/>
          </w:tcPr>
          <w:p>
            <w:pPr>
              <w:widowControl/>
              <w:jc w:val="center"/>
              <w:textAlignment w:val="center"/>
              <w:rPr>
                <w:rFonts w:hint="eastAsia" w:ascii="Times New Roman" w:hAnsi="Times New Roman"/>
                <w:b/>
                <w:kern w:val="0"/>
                <w:szCs w:val="21"/>
              </w:rPr>
            </w:pPr>
            <w:r>
              <w:rPr>
                <w:rFonts w:hint="eastAsia" w:ascii="Times New Roman" w:hAnsi="Times New Roman"/>
                <w:b/>
                <w:kern w:val="0"/>
                <w:szCs w:val="21"/>
              </w:rPr>
              <w:t>级别</w:t>
            </w:r>
          </w:p>
        </w:tc>
        <w:tc>
          <w:tcPr>
            <w:tcW w:w="1282" w:type="dxa"/>
            <w:shd w:val="clear" w:color="auto" w:fill="C6D9F0" w:themeFill="text2" w:themeFillTint="33"/>
            <w:vAlign w:val="center"/>
          </w:tcPr>
          <w:p>
            <w:pPr>
              <w:widowControl/>
              <w:jc w:val="center"/>
              <w:textAlignment w:val="center"/>
              <w:rPr>
                <w:rFonts w:hint="eastAsia" w:ascii="Times New Roman" w:hAnsi="Times New Roman"/>
                <w:b/>
                <w:kern w:val="0"/>
                <w:szCs w:val="21"/>
              </w:rPr>
            </w:pPr>
            <w:r>
              <w:rPr>
                <w:rFonts w:hint="eastAsia" w:ascii="Times New Roman" w:hAnsi="Times New Roman"/>
                <w:b/>
                <w:kern w:val="0"/>
                <w:szCs w:val="21"/>
                <w:lang w:val="en-US" w:eastAsia="zh-CN"/>
              </w:rPr>
              <w:t>获奖等级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hint="eastAsia" w:ascii="Times New Roman" w:hAnsi="Times New Roman" w:cs="Times New Roman"/>
                <w:sz w:val="21"/>
                <w:szCs w:val="24"/>
              </w:rPr>
            </w:pPr>
            <w:r>
              <w:rPr>
                <w:rFonts w:hint="eastAsia" w:ascii="Times New Roman" w:hAnsi="Times New Roman" w:cs="Times New Roman"/>
                <w:sz w:val="21"/>
                <w:szCs w:val="24"/>
              </w:rPr>
              <w:t>1</w:t>
            </w:r>
          </w:p>
        </w:tc>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hint="eastAsia" w:ascii="Times New Roman" w:hAnsi="Times New Roman" w:cs="Times New Roman"/>
                <w:sz w:val="21"/>
                <w:szCs w:val="24"/>
              </w:rPr>
            </w:pPr>
            <w:r>
              <w:rPr>
                <w:rFonts w:hint="eastAsia" w:ascii="Times New Roman" w:hAnsi="Times New Roman" w:cs="Times New Roman"/>
                <w:sz w:val="21"/>
                <w:szCs w:val="24"/>
              </w:rPr>
              <w:t>马录成、马占梅</w:t>
            </w:r>
          </w:p>
          <w:p>
            <w:pPr>
              <w:pStyle w:val="28"/>
              <w:spacing w:line="240" w:lineRule="auto"/>
              <w:ind w:firstLine="0" w:firstLineChars="0"/>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cs="Times New Roman"/>
                <w:sz w:val="21"/>
                <w:szCs w:val="24"/>
              </w:rPr>
              <w:t>苏继珍</w:t>
            </w:r>
          </w:p>
        </w:tc>
        <w:tc>
          <w:tcPr>
            <w:tcW w:w="33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cs="Times New Roman"/>
                <w:sz w:val="21"/>
                <w:szCs w:val="24"/>
              </w:rPr>
              <w:t>《一种电磁式压力容器固定装置》</w:t>
            </w:r>
          </w:p>
        </w:tc>
        <w:tc>
          <w:tcPr>
            <w:tcW w:w="118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lang w:val="en-US" w:eastAsia="zh-CN"/>
              </w:rPr>
              <w:t>国家级</w:t>
            </w:r>
          </w:p>
        </w:tc>
        <w:tc>
          <w:tcPr>
            <w:tcW w:w="128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cs="Times New Roman"/>
                <w:sz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cs="Times New Roman"/>
                <w:sz w:val="21"/>
                <w:szCs w:val="24"/>
              </w:rPr>
              <w:t>2</w:t>
            </w:r>
          </w:p>
        </w:tc>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hint="eastAsia" w:ascii="Times New Roman" w:hAnsi="Times New Roman" w:cs="Times New Roman"/>
                <w:sz w:val="21"/>
                <w:szCs w:val="24"/>
              </w:rPr>
            </w:pPr>
            <w:r>
              <w:rPr>
                <w:rFonts w:hint="eastAsia" w:ascii="Times New Roman" w:hAnsi="Times New Roman" w:cs="Times New Roman"/>
                <w:sz w:val="21"/>
                <w:szCs w:val="24"/>
              </w:rPr>
              <w:t>马学艳、李生芳</w:t>
            </w:r>
          </w:p>
          <w:p>
            <w:pPr>
              <w:pStyle w:val="28"/>
              <w:spacing w:line="240" w:lineRule="auto"/>
              <w:ind w:firstLine="0"/>
              <w:jc w:val="center"/>
              <w:rPr>
                <w:rFonts w:hint="eastAsia" w:ascii="Times New Roman" w:hAnsi="Times New Roman" w:cs="Times New Roman"/>
                <w:sz w:val="21"/>
                <w:szCs w:val="24"/>
              </w:rPr>
            </w:pPr>
            <w:r>
              <w:rPr>
                <w:rFonts w:hint="eastAsia" w:ascii="Times New Roman" w:hAnsi="Times New Roman" w:cs="Times New Roman"/>
                <w:sz w:val="21"/>
                <w:szCs w:val="24"/>
              </w:rPr>
              <w:t>孙秀华、马学艳</w:t>
            </w:r>
          </w:p>
          <w:p>
            <w:pPr>
              <w:pStyle w:val="28"/>
              <w:spacing w:line="240" w:lineRule="auto"/>
              <w:ind w:firstLine="0" w:firstLineChars="0"/>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cs="Times New Roman"/>
                <w:sz w:val="21"/>
                <w:szCs w:val="24"/>
              </w:rPr>
              <w:t>拉  毛、孔祥军</w:t>
            </w:r>
          </w:p>
        </w:tc>
        <w:tc>
          <w:tcPr>
            <w:tcW w:w="33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cs="Times New Roman"/>
                <w:sz w:val="21"/>
                <w:szCs w:val="24"/>
              </w:rPr>
              <w:t>《高原植物有效利用“杞棘”》</w:t>
            </w:r>
          </w:p>
        </w:tc>
        <w:tc>
          <w:tcPr>
            <w:tcW w:w="118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lang w:val="en-US" w:eastAsia="zh-CN"/>
              </w:rPr>
              <w:t>国家级</w:t>
            </w:r>
          </w:p>
        </w:tc>
        <w:tc>
          <w:tcPr>
            <w:tcW w:w="128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cs="Times New Roman"/>
                <w:sz w:val="21"/>
                <w:szCs w:val="24"/>
              </w:rPr>
              <w:t>优胜奖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cs="Times New Roman"/>
                <w:sz w:val="21"/>
                <w:szCs w:val="24"/>
              </w:rPr>
              <w:t>3</w:t>
            </w:r>
          </w:p>
        </w:tc>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hint="eastAsia" w:ascii="Times New Roman" w:hAnsi="Times New Roman" w:cs="Times New Roman"/>
                <w:sz w:val="21"/>
                <w:szCs w:val="24"/>
              </w:rPr>
            </w:pPr>
            <w:r>
              <w:rPr>
                <w:rFonts w:hint="eastAsia" w:ascii="Times New Roman" w:hAnsi="Times New Roman" w:cs="Times New Roman"/>
                <w:sz w:val="21"/>
                <w:szCs w:val="24"/>
              </w:rPr>
              <w:t>马学艳、李生芳</w:t>
            </w:r>
          </w:p>
          <w:p>
            <w:pPr>
              <w:pStyle w:val="28"/>
              <w:spacing w:line="240" w:lineRule="auto"/>
              <w:ind w:firstLine="0"/>
              <w:jc w:val="center"/>
              <w:rPr>
                <w:rFonts w:hint="eastAsia" w:ascii="Times New Roman" w:hAnsi="Times New Roman" w:cs="Times New Roman"/>
                <w:sz w:val="21"/>
                <w:szCs w:val="24"/>
              </w:rPr>
            </w:pPr>
            <w:r>
              <w:rPr>
                <w:rFonts w:hint="eastAsia" w:ascii="Times New Roman" w:hAnsi="Times New Roman" w:cs="Times New Roman"/>
                <w:sz w:val="21"/>
                <w:szCs w:val="24"/>
              </w:rPr>
              <w:t>孙秀华、马学艳</w:t>
            </w:r>
          </w:p>
          <w:p>
            <w:pPr>
              <w:pStyle w:val="28"/>
              <w:spacing w:line="240" w:lineRule="auto"/>
              <w:ind w:firstLine="0" w:firstLineChars="0"/>
              <w:jc w:val="center"/>
              <w:rPr>
                <w:rFonts w:hint="eastAsia" w:ascii="Times New Roman" w:hAnsi="Times New Roman" w:cs="Times New Roman"/>
                <w:sz w:val="21"/>
              </w:rPr>
            </w:pPr>
            <w:r>
              <w:rPr>
                <w:rFonts w:hint="eastAsia" w:ascii="Times New Roman" w:hAnsi="Times New Roman" w:cs="Times New Roman"/>
                <w:sz w:val="21"/>
                <w:szCs w:val="24"/>
              </w:rPr>
              <w:t>拉  毛、孔祥军</w:t>
            </w:r>
          </w:p>
        </w:tc>
        <w:tc>
          <w:tcPr>
            <w:tcW w:w="33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rPr>
            </w:pPr>
            <w:r>
              <w:rPr>
                <w:rFonts w:hint="eastAsia" w:ascii="Times New Roman" w:hAnsi="Times New Roman" w:cs="Times New Roman"/>
                <w:sz w:val="21"/>
                <w:szCs w:val="24"/>
              </w:rPr>
              <w:t>《高原植物有效利用“杞棘”》</w:t>
            </w:r>
          </w:p>
        </w:tc>
        <w:tc>
          <w:tcPr>
            <w:tcW w:w="118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rPr>
            </w:pPr>
            <w:r>
              <w:rPr>
                <w:rFonts w:hint="eastAsia" w:ascii="Times New Roman" w:hAnsi="Times New Roman"/>
              </w:rPr>
              <w:t>省级</w:t>
            </w:r>
          </w:p>
        </w:tc>
        <w:tc>
          <w:tcPr>
            <w:tcW w:w="128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rPr>
            </w:pPr>
            <w:r>
              <w:rPr>
                <w:rFonts w:hint="eastAsia" w:ascii="Times New Roman" w:hAnsi="Times New Roman" w:cs="Times New Roman"/>
                <w:sz w:val="21"/>
                <w:szCs w:val="24"/>
              </w:rPr>
              <w:t>优胜奖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cs="Times New Roman"/>
                <w:sz w:val="21"/>
                <w:szCs w:val="24"/>
              </w:rPr>
              <w:t>4</w:t>
            </w:r>
          </w:p>
        </w:tc>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hint="eastAsia" w:ascii="Times New Roman" w:hAnsi="Times New Roman" w:cs="Times New Roman"/>
                <w:sz w:val="21"/>
                <w:szCs w:val="24"/>
              </w:rPr>
            </w:pPr>
            <w:r>
              <w:rPr>
                <w:rFonts w:hint="eastAsia" w:ascii="Times New Roman" w:hAnsi="Times New Roman" w:cs="Times New Roman"/>
                <w:sz w:val="21"/>
                <w:szCs w:val="24"/>
              </w:rPr>
              <w:t>巨婷婷、张鹏鹏</w:t>
            </w:r>
          </w:p>
          <w:p>
            <w:pPr>
              <w:pStyle w:val="28"/>
              <w:spacing w:line="240" w:lineRule="auto"/>
              <w:ind w:firstLine="0"/>
              <w:jc w:val="center"/>
              <w:rPr>
                <w:rFonts w:hint="eastAsia" w:ascii="Times New Roman" w:hAnsi="Times New Roman" w:cs="Times New Roman"/>
                <w:sz w:val="21"/>
                <w:szCs w:val="24"/>
              </w:rPr>
            </w:pPr>
            <w:r>
              <w:rPr>
                <w:rFonts w:hint="eastAsia" w:ascii="Times New Roman" w:hAnsi="Times New Roman" w:cs="Times New Roman"/>
                <w:sz w:val="21"/>
                <w:szCs w:val="24"/>
              </w:rPr>
              <w:t>周  伟、韩文霞</w:t>
            </w:r>
          </w:p>
          <w:p>
            <w:pPr>
              <w:pStyle w:val="28"/>
              <w:spacing w:line="240" w:lineRule="auto"/>
              <w:ind w:firstLine="0" w:firstLineChars="0"/>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cs="Times New Roman"/>
                <w:sz w:val="21"/>
                <w:szCs w:val="24"/>
              </w:rPr>
              <w:t>赵春来、马雪梅</w:t>
            </w:r>
          </w:p>
        </w:tc>
        <w:tc>
          <w:tcPr>
            <w:tcW w:w="33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cs="Times New Roman"/>
                <w:sz w:val="21"/>
                <w:szCs w:val="24"/>
                <w:lang w:val="en-US"/>
              </w:rPr>
              <w:t>《“四</w:t>
            </w:r>
            <w:r>
              <w:rPr>
                <w:rFonts w:hint="eastAsia" w:ascii="Times New Roman" w:hAnsi="Times New Roman" w:cs="Times New Roman"/>
                <w:sz w:val="21"/>
                <w:szCs w:val="24"/>
              </w:rPr>
              <w:t>联动、四维度、四融通</w:t>
            </w:r>
            <w:r>
              <w:rPr>
                <w:rFonts w:hint="eastAsia" w:ascii="Times New Roman" w:hAnsi="Times New Roman" w:cs="Times New Roman"/>
                <w:sz w:val="21"/>
                <w:szCs w:val="24"/>
                <w:lang w:val="en-US"/>
              </w:rPr>
              <w:t>”机</w:t>
            </w:r>
            <w:r>
              <w:rPr>
                <w:rFonts w:hint="eastAsia" w:ascii="Times New Roman" w:hAnsi="Times New Roman" w:cs="Times New Roman"/>
                <w:sz w:val="21"/>
                <w:szCs w:val="24"/>
              </w:rPr>
              <w:t>电专业 人才培养模式</w:t>
            </w:r>
            <w:r>
              <w:rPr>
                <w:rFonts w:hint="eastAsia" w:ascii="Times New Roman" w:hAnsi="Times New Roman" w:cs="Times New Roman"/>
                <w:sz w:val="21"/>
                <w:szCs w:val="24"/>
                <w:lang w:val="en-US"/>
              </w:rPr>
              <w:t>》</w:t>
            </w:r>
          </w:p>
        </w:tc>
        <w:tc>
          <w:tcPr>
            <w:tcW w:w="118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rPr>
              <w:t>省级</w:t>
            </w:r>
          </w:p>
        </w:tc>
        <w:tc>
          <w:tcPr>
            <w:tcW w:w="128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cs="Times New Roman"/>
                <w:sz w:val="21"/>
                <w:szCs w:val="24"/>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0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cs="Times New Roman"/>
                <w:sz w:val="21"/>
                <w:szCs w:val="24"/>
              </w:rPr>
              <w:t>5</w:t>
            </w:r>
          </w:p>
        </w:tc>
        <w:tc>
          <w:tcPr>
            <w:tcW w:w="186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hint="eastAsia" w:ascii="Times New Roman" w:hAnsi="Times New Roman" w:cs="Times New Roman"/>
                <w:sz w:val="21"/>
                <w:szCs w:val="24"/>
              </w:rPr>
            </w:pPr>
            <w:r>
              <w:rPr>
                <w:rFonts w:hint="eastAsia" w:ascii="Times New Roman" w:hAnsi="Times New Roman" w:cs="Times New Roman"/>
                <w:sz w:val="21"/>
                <w:szCs w:val="24"/>
              </w:rPr>
              <w:t>马学艳、李生芳</w:t>
            </w:r>
          </w:p>
          <w:p>
            <w:pPr>
              <w:pStyle w:val="28"/>
              <w:spacing w:line="240" w:lineRule="auto"/>
              <w:ind w:firstLine="0"/>
              <w:jc w:val="center"/>
              <w:rPr>
                <w:rFonts w:hint="eastAsia" w:ascii="Times New Roman" w:hAnsi="Times New Roman" w:cs="Times New Roman"/>
                <w:sz w:val="21"/>
                <w:szCs w:val="24"/>
              </w:rPr>
            </w:pPr>
            <w:r>
              <w:rPr>
                <w:rFonts w:hint="eastAsia" w:ascii="Times New Roman" w:hAnsi="Times New Roman" w:cs="Times New Roman"/>
                <w:sz w:val="21"/>
                <w:szCs w:val="24"/>
              </w:rPr>
              <w:t>孙秀华、马学艳</w:t>
            </w:r>
          </w:p>
          <w:p>
            <w:pPr>
              <w:pStyle w:val="28"/>
              <w:spacing w:line="240" w:lineRule="auto"/>
              <w:ind w:firstLine="0" w:firstLineChars="0"/>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cs="Times New Roman"/>
                <w:sz w:val="21"/>
                <w:szCs w:val="24"/>
              </w:rPr>
              <w:t>拉  毛、孔祥军</w:t>
            </w:r>
          </w:p>
        </w:tc>
        <w:tc>
          <w:tcPr>
            <w:tcW w:w="33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cs="Times New Roman"/>
                <w:sz w:val="21"/>
                <w:szCs w:val="24"/>
              </w:rPr>
              <w:t>《高原植物有效利用“杞棘”》</w:t>
            </w:r>
          </w:p>
        </w:tc>
        <w:tc>
          <w:tcPr>
            <w:tcW w:w="1189"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lang w:val="en-US" w:eastAsia="zh-CN"/>
              </w:rPr>
              <w:t>市级</w:t>
            </w:r>
          </w:p>
        </w:tc>
        <w:tc>
          <w:tcPr>
            <w:tcW w:w="1282"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eastAsia="宋体" w:cs="Times New Roman"/>
                <w:kern w:val="2"/>
                <w:sz w:val="21"/>
                <w:szCs w:val="24"/>
                <w:lang w:val="en-US" w:eastAsia="zh-CN" w:bidi="ar-SA"/>
              </w:rPr>
            </w:pPr>
            <w:r>
              <w:rPr>
                <w:rFonts w:hint="eastAsia" w:ascii="Times New Roman" w:hAnsi="Times New Roman" w:cs="Times New Roman"/>
                <w:sz w:val="21"/>
                <w:szCs w:val="24"/>
              </w:rPr>
              <w:t>二等奖</w:t>
            </w:r>
          </w:p>
        </w:tc>
      </w:tr>
    </w:tbl>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表3-6  2020-2021学年教师公开发表论文</w:t>
      </w:r>
      <w:r>
        <w:rPr>
          <w:rFonts w:hint="eastAsia" w:ascii="Times New Roman" w:hAnsi="Times New Roman" w:cs="Times New Roman"/>
          <w:b/>
          <w:color w:val="000000" w:themeColor="text1"/>
          <w:kern w:val="2"/>
          <w:sz w:val="21"/>
          <w:szCs w:val="21"/>
          <w14:textFill>
            <w14:solidFill>
              <w14:schemeClr w14:val="tx1"/>
            </w14:solidFill>
          </w14:textFill>
        </w:rPr>
        <w:t>或出版教材</w:t>
      </w:r>
      <w:r>
        <w:rPr>
          <w:rFonts w:ascii="Times New Roman" w:hAnsi="Times New Roman" w:cs="Times New Roman"/>
          <w:b/>
          <w:color w:val="000000" w:themeColor="text1"/>
          <w:kern w:val="2"/>
          <w:sz w:val="21"/>
          <w:szCs w:val="21"/>
          <w14:textFill>
            <w14:solidFill>
              <w14:schemeClr w14:val="tx1"/>
            </w14:solidFill>
          </w14:textFill>
        </w:rPr>
        <w:t>统计</w:t>
      </w:r>
    </w:p>
    <w:tbl>
      <w:tblPr>
        <w:tblStyle w:val="17"/>
        <w:tblW w:w="8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6"/>
        <w:gridCol w:w="1037"/>
        <w:gridCol w:w="3788"/>
        <w:gridCol w:w="1716"/>
        <w:gridCol w:w="11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blHeader/>
          <w:jc w:val="center"/>
        </w:trPr>
        <w:tc>
          <w:tcPr>
            <w:tcW w:w="626" w:type="dxa"/>
            <w:shd w:val="clear" w:color="auto" w:fill="C6D9F0" w:themeFill="text2" w:themeFillTint="33"/>
            <w:vAlign w:val="center"/>
          </w:tcPr>
          <w:p>
            <w:pPr>
              <w:pStyle w:val="28"/>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序号</w:t>
            </w:r>
          </w:p>
        </w:tc>
        <w:tc>
          <w:tcPr>
            <w:tcW w:w="1037" w:type="dxa"/>
            <w:shd w:val="clear" w:color="auto" w:fill="C6D9F0" w:themeFill="text2" w:themeFillTint="33"/>
            <w:vAlign w:val="center"/>
          </w:tcPr>
          <w:p>
            <w:pPr>
              <w:pStyle w:val="28"/>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作者</w:t>
            </w:r>
          </w:p>
        </w:tc>
        <w:tc>
          <w:tcPr>
            <w:tcW w:w="3788" w:type="dxa"/>
            <w:shd w:val="clear" w:color="auto" w:fill="C6D9F0" w:themeFill="text2" w:themeFillTint="33"/>
            <w:vAlign w:val="center"/>
          </w:tcPr>
          <w:p>
            <w:pPr>
              <w:pStyle w:val="28"/>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论文题目</w:t>
            </w:r>
            <w:r>
              <w:rPr>
                <w:rFonts w:hint="eastAsia" w:ascii="Times New Roman" w:hAnsi="Times New Roman" w:cs="Times New Roman"/>
                <w:b/>
                <w:kern w:val="0"/>
                <w:sz w:val="21"/>
                <w:szCs w:val="21"/>
              </w:rPr>
              <w:t>或教材名称</w:t>
            </w:r>
          </w:p>
        </w:tc>
        <w:tc>
          <w:tcPr>
            <w:tcW w:w="1716" w:type="dxa"/>
            <w:shd w:val="clear" w:color="auto" w:fill="C6D9F0" w:themeFill="text2" w:themeFillTint="33"/>
            <w:vAlign w:val="center"/>
          </w:tcPr>
          <w:p>
            <w:pPr>
              <w:pStyle w:val="28"/>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发表刊物</w:t>
            </w:r>
            <w:r>
              <w:rPr>
                <w:rFonts w:hint="eastAsia" w:ascii="Times New Roman" w:hAnsi="Times New Roman" w:cs="Times New Roman"/>
                <w:b/>
                <w:kern w:val="0"/>
                <w:sz w:val="21"/>
                <w:szCs w:val="21"/>
              </w:rPr>
              <w:t>或出版社</w:t>
            </w:r>
          </w:p>
        </w:tc>
        <w:tc>
          <w:tcPr>
            <w:tcW w:w="1111" w:type="dxa"/>
            <w:shd w:val="clear" w:color="auto" w:fill="C6D9F0" w:themeFill="text2" w:themeFillTint="33"/>
            <w:vAlign w:val="center"/>
          </w:tcPr>
          <w:p>
            <w:pPr>
              <w:pStyle w:val="28"/>
              <w:spacing w:line="240" w:lineRule="auto"/>
              <w:ind w:firstLine="0"/>
              <w:jc w:val="center"/>
              <w:rPr>
                <w:rFonts w:ascii="Times New Roman" w:hAnsi="Times New Roman" w:cs="Times New Roman"/>
                <w:b/>
                <w:kern w:val="0"/>
                <w:sz w:val="21"/>
                <w:szCs w:val="21"/>
              </w:rPr>
            </w:pPr>
            <w:r>
              <w:rPr>
                <w:rFonts w:ascii="Times New Roman" w:hAnsi="Times New Roman" w:cs="Times New Roman"/>
                <w:b/>
                <w:kern w:val="0"/>
                <w:sz w:val="21"/>
                <w:szCs w:val="21"/>
              </w:rPr>
              <w:t>发表时间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1</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代万虎</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新能源发电技术在电力系统中的有效应用[J]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科学咨询</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default" w:ascii="Times New Roman" w:hAnsi="Times New Roman" w:cs="Times New Roman"/>
                <w:sz w:val="21"/>
                <w:szCs w:val="21"/>
              </w:rPr>
              <w:t>2020.</w:t>
            </w:r>
            <w:r>
              <w:rPr>
                <w:rFonts w:hint="eastAsia" w:ascii="Times New Roman" w:hAnsi="Times New Roman" w:cs="Times New Roman"/>
                <w:sz w:val="21"/>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2</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刘秀兰</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高职大学生心理健康状况调查分析</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现代职业教育</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default" w:ascii="Times New Roman" w:hAnsi="Times New Roman" w:cs="Times New Roman"/>
                <w:sz w:val="21"/>
                <w:szCs w:val="21"/>
              </w:rPr>
              <w:t>2020.</w:t>
            </w:r>
            <w:r>
              <w:rPr>
                <w:rFonts w:hint="eastAsia" w:ascii="Times New Roman" w:hAnsi="Times New Roman" w:cs="Times New Roman"/>
                <w:sz w:val="21"/>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3</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马晓清</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浅议中职学校内部控制存在的问题及强化措施[J]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青海教育</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2020.</w:t>
            </w:r>
            <w:r>
              <w:rPr>
                <w:rFonts w:hint="eastAsia" w:ascii="Times New Roman" w:hAnsi="Times New Roman"/>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4</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汪丽</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职业胜任能力培养导向下的高职计算机专业体系改革探究[J]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现代职业教育</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2020.</w:t>
            </w:r>
            <w:r>
              <w:rPr>
                <w:rFonts w:hint="eastAsia" w:ascii="Times New Roman" w:hAnsi="Times New Roman"/>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5</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hint="eastAsia" w:ascii="Times New Roman" w:hAnsi="Times New Roman" w:cs="Times New Roman"/>
                <w:sz w:val="21"/>
                <w:szCs w:val="21"/>
              </w:rPr>
            </w:pPr>
            <w:r>
              <w:rPr>
                <w:rFonts w:hint="eastAsia" w:ascii="Times New Roman" w:hAnsi="Times New Roman" w:cs="Times New Roman"/>
                <w:sz w:val="21"/>
                <w:szCs w:val="21"/>
              </w:rPr>
              <w:t>张锐莹</w:t>
            </w:r>
          </w:p>
          <w:p>
            <w:pPr>
              <w:pStyle w:val="28"/>
              <w:spacing w:line="240" w:lineRule="auto"/>
              <w:ind w:firstLine="0"/>
              <w:jc w:val="center"/>
              <w:rPr>
                <w:rFonts w:hint="eastAsia" w:ascii="Times New Roman" w:hAnsi="Times New Roman" w:cs="Times New Roman"/>
                <w:sz w:val="21"/>
                <w:szCs w:val="21"/>
              </w:rPr>
            </w:pPr>
            <w:r>
              <w:rPr>
                <w:rFonts w:hint="eastAsia" w:ascii="Times New Roman" w:hAnsi="Times New Roman" w:cs="Times New Roman"/>
                <w:sz w:val="21"/>
                <w:szCs w:val="21"/>
              </w:rPr>
              <w:t>管梦洁</w:t>
            </w:r>
          </w:p>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李  汀</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高职院校教师心理健康教育工作机制构建和队伍建设——以青海柴达木职业技术学院为例[J]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学园</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2020.</w:t>
            </w:r>
            <w:r>
              <w:rPr>
                <w:rFonts w:hint="eastAsia" w:ascii="Times New Roman" w:hAnsi="Times New Roman"/>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6</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巨婷婷</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工业机器人在自动化控制中的应用[J]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科技风</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2020.</w:t>
            </w:r>
            <w:r>
              <w:rPr>
                <w:rFonts w:hint="eastAsia" w:ascii="Times New Roman" w:hAnsi="Times New Roman"/>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7</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张永杰</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机电自动化控制中PLC技术的应用[J]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百科知识</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2020.</w:t>
            </w:r>
            <w:r>
              <w:rPr>
                <w:rFonts w:hint="eastAsia" w:ascii="Times New Roman" w:hAnsi="Times New Roman"/>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8</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张媛</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中职语文阅读教学的人文教育探析[J]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知识文库</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2020.</w:t>
            </w:r>
            <w:r>
              <w:rPr>
                <w:rFonts w:hint="eastAsia" w:ascii="Times New Roman" w:hAnsi="Times New Roman"/>
                <w:szCs w:val="21"/>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9</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hint="eastAsia" w:ascii="Times New Roman" w:hAnsi="Times New Roman" w:cs="Times New Roman"/>
                <w:sz w:val="21"/>
                <w:szCs w:val="21"/>
              </w:rPr>
            </w:pPr>
            <w:r>
              <w:rPr>
                <w:rFonts w:hint="eastAsia" w:ascii="Times New Roman" w:hAnsi="Times New Roman" w:cs="Times New Roman"/>
                <w:sz w:val="21"/>
                <w:szCs w:val="21"/>
              </w:rPr>
              <w:t>李生芳</w:t>
            </w:r>
          </w:p>
          <w:p>
            <w:pPr>
              <w:pStyle w:val="28"/>
              <w:spacing w:line="240" w:lineRule="auto"/>
              <w:ind w:firstLine="0"/>
              <w:jc w:val="center"/>
              <w:rPr>
                <w:rFonts w:hint="eastAsia" w:ascii="Times New Roman" w:hAnsi="Times New Roman" w:cs="Times New Roman"/>
                <w:sz w:val="21"/>
                <w:szCs w:val="21"/>
              </w:rPr>
            </w:pPr>
            <w:r>
              <w:rPr>
                <w:rFonts w:hint="eastAsia" w:ascii="Times New Roman" w:hAnsi="Times New Roman" w:cs="Times New Roman"/>
                <w:sz w:val="21"/>
                <w:szCs w:val="21"/>
              </w:rPr>
              <w:t>马学艳</w:t>
            </w:r>
          </w:p>
          <w:p>
            <w:pPr>
              <w:pStyle w:val="28"/>
              <w:spacing w:line="240" w:lineRule="auto"/>
              <w:ind w:firstLine="0"/>
              <w:jc w:val="center"/>
              <w:rPr>
                <w:rFonts w:hint="eastAsia" w:ascii="Times New Roman" w:hAnsi="Times New Roman" w:cs="Times New Roman"/>
                <w:sz w:val="21"/>
                <w:szCs w:val="21"/>
              </w:rPr>
            </w:pPr>
            <w:r>
              <w:rPr>
                <w:rFonts w:hint="eastAsia" w:ascii="Times New Roman" w:hAnsi="Times New Roman" w:cs="Times New Roman"/>
                <w:sz w:val="21"/>
                <w:szCs w:val="21"/>
              </w:rPr>
              <w:t>马占梅</w:t>
            </w:r>
          </w:p>
          <w:p>
            <w:pPr>
              <w:pStyle w:val="28"/>
              <w:spacing w:line="240" w:lineRule="auto"/>
              <w:ind w:firstLine="0"/>
              <w:jc w:val="center"/>
              <w:rPr>
                <w:rFonts w:hint="eastAsia" w:ascii="Times New Roman" w:hAnsi="Times New Roman" w:cs="Times New Roman"/>
                <w:sz w:val="21"/>
                <w:szCs w:val="21"/>
              </w:rPr>
            </w:pPr>
            <w:r>
              <w:rPr>
                <w:rFonts w:hint="eastAsia" w:ascii="Times New Roman" w:hAnsi="Times New Roman" w:cs="Times New Roman"/>
                <w:sz w:val="21"/>
                <w:szCs w:val="21"/>
              </w:rPr>
              <w:t>孔祥军</w:t>
            </w:r>
          </w:p>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拉  毛</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一种含枸杞、沙棘油的抗氧化口红制备工艺研究[J]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科技创新与应用</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2020.</w:t>
            </w:r>
            <w:r>
              <w:rPr>
                <w:rFonts w:hint="eastAsia" w:ascii="Times New Roman" w:hAnsi="Times New Roman"/>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10</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张  娟</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高职“财务报表分析”课程教学云课堂的应用探究[J].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科学咨询</w:t>
            </w:r>
            <w:r>
              <w:rPr>
                <w:rFonts w:hint="eastAsia" w:ascii="Times New Roman" w:hAnsi="Times New Roman" w:cs="Times New Roman"/>
                <w:sz w:val="21"/>
                <w:szCs w:val="21"/>
                <w:lang w:eastAsia="zh-CN"/>
              </w:rPr>
              <w:t>（</w:t>
            </w:r>
            <w:r>
              <w:rPr>
                <w:rFonts w:hint="eastAsia" w:ascii="Times New Roman" w:hAnsi="Times New Roman" w:cs="Times New Roman"/>
                <w:sz w:val="21"/>
                <w:szCs w:val="21"/>
              </w:rPr>
              <w:t>教育科研</w:t>
            </w:r>
            <w:r>
              <w:rPr>
                <w:rFonts w:hint="eastAsia" w:ascii="Times New Roman" w:hAnsi="Times New Roman" w:cs="Times New Roman"/>
                <w:sz w:val="21"/>
                <w:szCs w:val="21"/>
                <w:lang w:eastAsia="zh-CN"/>
              </w:rPr>
              <w:t>）</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11</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金玉</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物理学专业英语的教材翻译研究与应用——评《专业英语视听说：物理》[J]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摩擦学学报</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12</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谢天艳</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食品微生物学的信息化教学探究[J]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食品界</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13</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邢国全</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物联网应用环境下的高职体育管理变革分析[J]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当代体育科技</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14</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hint="eastAsia" w:ascii="Times New Roman" w:hAnsi="Times New Roman" w:cs="Times New Roman"/>
                <w:sz w:val="21"/>
                <w:szCs w:val="21"/>
              </w:rPr>
            </w:pPr>
            <w:r>
              <w:rPr>
                <w:rFonts w:hint="eastAsia" w:ascii="Times New Roman" w:hAnsi="Times New Roman" w:cs="Times New Roman"/>
                <w:sz w:val="21"/>
                <w:szCs w:val="21"/>
              </w:rPr>
              <w:t>孙海青</w:t>
            </w:r>
          </w:p>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张锐莹</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孟子道德修养论对中职生思想品德修养的启示[J]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知识文库</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15</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金  玉</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高职院校构建“三全育人”工作体系机制探究——以青海省为例[J]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文教资料</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16</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马雪梅</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电力系统继电保护的常见事故及预防分析[J]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时代汽车</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17</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孙倩</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工业机器人技术在自动化控制领域的运用[J]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无线互联科技</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18</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周伟</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青海省工业机器人技术专业人才培养研究[J].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szCs w:val="21"/>
              </w:rPr>
              <w:t>无线互联科技</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19</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王蕾</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VR技术与无人机结合在电力系统中的应用[J].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szCs w:val="21"/>
              </w:rPr>
              <w:t>无线互联科技</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20</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马雪梅</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光纤通信在电力系统继电保护中的应用[J].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szCs w:val="21"/>
              </w:rPr>
              <w:t>无线互联科技</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21</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闫海萍</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产教融合背景下校内实践基地创建初探——以青海柴达木职业技术学院旅游管理专业综合实训室为例[J].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青海教育</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22</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李生芳</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匠心独运，与你共成长[J]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知识窗</w:t>
            </w:r>
            <w:r>
              <w:rPr>
                <w:rFonts w:hint="eastAsia" w:ascii="Times New Roman" w:hAnsi="Times New Roman" w:cs="Times New Roman"/>
                <w:sz w:val="21"/>
                <w:szCs w:val="21"/>
                <w:lang w:eastAsia="zh-CN"/>
              </w:rPr>
              <w:t>（</w:t>
            </w:r>
            <w:r>
              <w:rPr>
                <w:rFonts w:hint="eastAsia" w:ascii="Times New Roman" w:hAnsi="Times New Roman" w:cs="Times New Roman"/>
                <w:sz w:val="21"/>
                <w:szCs w:val="21"/>
              </w:rPr>
              <w:t>教师版</w:t>
            </w:r>
            <w:r>
              <w:rPr>
                <w:rFonts w:hint="eastAsia" w:ascii="Times New Roman" w:hAnsi="Times New Roman" w:cs="Times New Roman"/>
                <w:sz w:val="21"/>
                <w:szCs w:val="21"/>
                <w:lang w:eastAsia="zh-CN"/>
              </w:rPr>
              <w:t>）</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23</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张永杰</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电气工程及其自动化的智能化技术应用[J]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信息记录材料</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24</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金玉</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基于职业岗位导向的高职英语教学改革研究[J]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科学咨询</w:t>
            </w:r>
            <w:r>
              <w:rPr>
                <w:rFonts w:hint="eastAsia" w:ascii="Times New Roman" w:hAnsi="Times New Roman" w:cs="Times New Roman"/>
                <w:sz w:val="21"/>
                <w:szCs w:val="21"/>
                <w:lang w:eastAsia="zh-CN"/>
              </w:rPr>
              <w:t>（</w:t>
            </w:r>
            <w:r>
              <w:rPr>
                <w:rFonts w:hint="eastAsia" w:ascii="Times New Roman" w:hAnsi="Times New Roman" w:cs="Times New Roman"/>
                <w:sz w:val="21"/>
                <w:szCs w:val="21"/>
              </w:rPr>
              <w:t>科技·管理</w:t>
            </w:r>
            <w:r>
              <w:rPr>
                <w:rFonts w:hint="eastAsia" w:ascii="Times New Roman" w:hAnsi="Times New Roman" w:cs="Times New Roman"/>
                <w:sz w:val="21"/>
                <w:szCs w:val="21"/>
                <w:lang w:eastAsia="zh-CN"/>
              </w:rPr>
              <w:t>）</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ascii="Times New Roman" w:hAnsi="Times New Roman" w:cs="Times New Roman"/>
                <w:sz w:val="21"/>
                <w:szCs w:val="21"/>
              </w:rPr>
              <w:t>2</w:t>
            </w:r>
            <w:r>
              <w:rPr>
                <w:rFonts w:hint="eastAsia" w:ascii="Times New Roman" w:hAnsi="Times New Roman" w:cs="Times New Roman"/>
                <w:sz w:val="21"/>
                <w:szCs w:val="21"/>
              </w:rPr>
              <w:t>5</w:t>
            </w:r>
          </w:p>
        </w:tc>
        <w:tc>
          <w:tcPr>
            <w:tcW w:w="1037" w:type="dxa"/>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白永霞</w:t>
            </w:r>
          </w:p>
        </w:tc>
        <w:tc>
          <w:tcPr>
            <w:tcW w:w="3788" w:type="dxa"/>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浅谈护理专业的课堂教学方法[J]</w:t>
            </w:r>
          </w:p>
        </w:tc>
        <w:tc>
          <w:tcPr>
            <w:tcW w:w="1716" w:type="dxa"/>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科技风</w:t>
            </w:r>
          </w:p>
        </w:tc>
        <w:tc>
          <w:tcPr>
            <w:tcW w:w="1111" w:type="dxa"/>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26</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张锐莹</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《幼学琼林》启蒙教育思想特点浅析[J]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青海教育</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27</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严富发</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基于虚拟仿真软件的化工单元操作课程改革实践[J]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青海教育</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28</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张军</w:t>
            </w:r>
            <w:r>
              <w:rPr>
                <w:rFonts w:hint="eastAsia" w:ascii="Times New Roman" w:hAnsi="Times New Roman" w:cs="Times New Roman"/>
                <w:sz w:val="21"/>
                <w:szCs w:val="21"/>
                <w:lang w:eastAsia="zh-Hans"/>
              </w:rPr>
              <w:t>、</w:t>
            </w:r>
            <w:r>
              <w:rPr>
                <w:rFonts w:hint="eastAsia" w:ascii="Times New Roman" w:hAnsi="Times New Roman" w:cs="Times New Roman"/>
                <w:sz w:val="21"/>
                <w:szCs w:val="21"/>
              </w:rPr>
              <w:t>卢晓东</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“双向育人、双导师育人”教学改革初见成效——护理专业现代学徒制试点项目[J]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现代职业教育</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29</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尹兰花</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机械设备电气工程自动化与工厂供配电节能控制分析[J]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江西建材</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30</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刘秀兰</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优秀传统文化在高职心理健康教育中的应用[J]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cs="Times New Roman"/>
                <w:sz w:val="21"/>
                <w:szCs w:val="21"/>
              </w:rPr>
            </w:pPr>
            <w:r>
              <w:rPr>
                <w:rFonts w:hint="eastAsia" w:ascii="Times New Roman" w:hAnsi="Times New Roman"/>
                <w:szCs w:val="21"/>
              </w:rPr>
              <w:t>文化产业</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31</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郑海萍</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中职语文教育中“工匠精神”及其文化元素的融合运用探索[J]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散文百家</w:t>
            </w:r>
            <w:r>
              <w:rPr>
                <w:rFonts w:hint="eastAsia" w:ascii="Times New Roman" w:hAnsi="Times New Roman" w:cs="Times New Roman"/>
                <w:sz w:val="21"/>
                <w:szCs w:val="21"/>
                <w:lang w:eastAsia="zh-CN"/>
              </w:rPr>
              <w:t>（</w:t>
            </w:r>
            <w:r>
              <w:rPr>
                <w:rFonts w:hint="eastAsia" w:ascii="Times New Roman" w:hAnsi="Times New Roman" w:cs="Times New Roman"/>
                <w:sz w:val="21"/>
                <w:szCs w:val="21"/>
              </w:rPr>
              <w:t>新语文活页</w:t>
            </w:r>
            <w:r>
              <w:rPr>
                <w:rFonts w:hint="eastAsia" w:ascii="Times New Roman" w:hAnsi="Times New Roman" w:cs="Times New Roman"/>
                <w:sz w:val="21"/>
                <w:szCs w:val="21"/>
                <w:lang w:eastAsia="zh-CN"/>
              </w:rPr>
              <w:t>）</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32</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巨婷婷</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智能制造形势下高职工业机器人技术人才培养研究[J]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青海教育</w:t>
            </w:r>
          </w:p>
          <w:p>
            <w:pPr>
              <w:pStyle w:val="28"/>
              <w:spacing w:line="240" w:lineRule="auto"/>
              <w:ind w:firstLine="0" w:firstLineChars="0"/>
              <w:jc w:val="center"/>
              <w:rPr>
                <w:rFonts w:hint="eastAsia" w:ascii="Times New Roman" w:hAnsi="Times New Roman" w:cs="Times New Roman"/>
                <w:sz w:val="21"/>
                <w:szCs w:val="21"/>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33</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拉毛</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高职院校化学教学中绿色化学理念渗透初探[J]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青海教育</w:t>
            </w:r>
          </w:p>
          <w:p>
            <w:pPr>
              <w:pStyle w:val="28"/>
              <w:spacing w:line="240" w:lineRule="auto"/>
              <w:ind w:firstLine="0" w:firstLineChars="0"/>
              <w:jc w:val="right"/>
              <w:rPr>
                <w:rFonts w:hint="eastAsia" w:ascii="Times New Roman" w:hAnsi="Times New Roman" w:cs="Times New Roman"/>
                <w:sz w:val="21"/>
                <w:szCs w:val="21"/>
              </w:rPr>
            </w:pP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34</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张鹏鹏</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PLC应用技术课程教学改革初探[J]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青海教育</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35</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马建</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电气工程自动化及其节能设计的应用研究[J]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szCs w:val="21"/>
              </w:rPr>
              <w:t>设备管理与维修</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2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36</w:t>
            </w:r>
          </w:p>
        </w:tc>
        <w:tc>
          <w:tcPr>
            <w:tcW w:w="103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cs="Times New Roman"/>
                <w:sz w:val="21"/>
                <w:szCs w:val="21"/>
              </w:rPr>
              <w:t>朱小莉</w:t>
            </w:r>
          </w:p>
        </w:tc>
        <w:tc>
          <w:tcPr>
            <w:tcW w:w="3788"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jc w:val="center"/>
              <w:rPr>
                <w:rFonts w:hint="eastAsia" w:ascii="Times New Roman" w:hAnsi="Times New Roman"/>
                <w:szCs w:val="21"/>
              </w:rPr>
            </w:pPr>
            <w:r>
              <w:rPr>
                <w:rFonts w:hint="eastAsia" w:ascii="Times New Roman" w:hAnsi="Times New Roman"/>
                <w:szCs w:val="21"/>
              </w:rPr>
              <w:t>高校化学分析实验教学的优化[J]</w:t>
            </w:r>
          </w:p>
        </w:tc>
        <w:tc>
          <w:tcPr>
            <w:tcW w:w="1716" w:type="dxa"/>
            <w:tcBorders>
              <w:top w:val="single" w:color="auto" w:sz="4" w:space="0"/>
              <w:left w:val="single" w:color="auto" w:sz="4" w:space="0"/>
              <w:bottom w:val="single" w:color="auto" w:sz="4" w:space="0"/>
              <w:right w:val="single" w:color="auto" w:sz="4" w:space="0"/>
            </w:tcBorders>
            <w:shd w:val="clear" w:color="auto" w:fill="auto"/>
            <w:vAlign w:val="center"/>
          </w:tcPr>
          <w:p>
            <w:pPr>
              <w:pStyle w:val="8"/>
              <w:spacing w:line="240" w:lineRule="auto"/>
              <w:ind w:firstLine="0" w:firstLineChars="0"/>
              <w:jc w:val="center"/>
              <w:rPr>
                <w:rFonts w:hint="eastAsia" w:ascii="Times New Roman" w:hAnsi="Times New Roman" w:cs="Times New Roman"/>
                <w:sz w:val="21"/>
                <w:szCs w:val="21"/>
              </w:rPr>
            </w:pPr>
            <w:r>
              <w:rPr>
                <w:rFonts w:hint="eastAsia" w:ascii="Times New Roman" w:hAnsi="Times New Roman"/>
                <w:szCs w:val="21"/>
              </w:rPr>
              <w:t>化工设计通讯</w:t>
            </w:r>
          </w:p>
        </w:tc>
        <w:tc>
          <w:tcPr>
            <w:tcW w:w="1111"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hint="eastAsia" w:ascii="Times New Roman" w:hAnsi="Times New Roman"/>
                <w:szCs w:val="21"/>
              </w:rPr>
            </w:pPr>
            <w:r>
              <w:rPr>
                <w:rFonts w:hint="default" w:ascii="Times New Roman" w:hAnsi="Times New Roman"/>
                <w:szCs w:val="21"/>
              </w:rPr>
              <w:t>2021.</w:t>
            </w:r>
            <w:r>
              <w:rPr>
                <w:rFonts w:hint="eastAsia" w:ascii="Times New Roman" w:hAnsi="Times New Roman"/>
                <w:szCs w:val="21"/>
              </w:rPr>
              <w:t>7</w:t>
            </w:r>
          </w:p>
        </w:tc>
      </w:tr>
    </w:tbl>
    <w:p>
      <w:pPr>
        <w:pStyle w:val="34"/>
        <w:ind w:firstLine="562"/>
        <w:rPr>
          <w:rFonts w:ascii="Times New Roman" w:hAnsi="Times New Roman" w:cs="Times New Roman"/>
          <w:b/>
        </w:rPr>
      </w:pPr>
      <w:r>
        <w:rPr>
          <w:rFonts w:ascii="Times New Roman" w:hAnsi="Times New Roman" w:cs="Times New Roman"/>
          <w:b/>
        </w:rPr>
        <w:t>4.教师参加专业技能大赛获奖情况</w:t>
      </w:r>
    </w:p>
    <w:p>
      <w:pPr>
        <w:pStyle w:val="28"/>
        <w:spacing w:line="300" w:lineRule="auto"/>
        <w:ind w:firstLine="480" w:firstLineChars="200"/>
        <w:rPr>
          <w:rFonts w:ascii="Times New Roman" w:hAnsi="Times New Roman" w:cs="Times New Roman"/>
          <w:szCs w:val="28"/>
        </w:rPr>
      </w:pPr>
      <w:r>
        <w:rPr>
          <w:rFonts w:hint="eastAsia" w:ascii="Times New Roman" w:hAnsi="Times New Roman" w:cs="Times New Roman"/>
          <w:szCs w:val="28"/>
        </w:rPr>
        <w:t>围绕职业技能大赛总结经验，以赛促教、以赛促学、教学相长，提升教师实践水平。</w:t>
      </w:r>
      <w:r>
        <w:rPr>
          <w:rFonts w:ascii="Times New Roman" w:hAnsi="Times New Roman" w:cs="Times New Roman"/>
          <w:szCs w:val="28"/>
        </w:rPr>
        <w:t>2020-2021学年，学校教师参加</w:t>
      </w:r>
      <w:r>
        <w:rPr>
          <w:rFonts w:hint="eastAsia" w:ascii="Times New Roman" w:hAnsi="Times New Roman" w:cs="Times New Roman"/>
          <w:szCs w:val="28"/>
        </w:rPr>
        <w:t>各级</w:t>
      </w:r>
      <w:r>
        <w:rPr>
          <w:rFonts w:ascii="Times New Roman" w:hAnsi="Times New Roman" w:cs="Times New Roman"/>
          <w:szCs w:val="28"/>
        </w:rPr>
        <w:t>专业技能大赛</w:t>
      </w:r>
      <w:r>
        <w:rPr>
          <w:rFonts w:hint="eastAsia" w:ascii="Times New Roman" w:hAnsi="Times New Roman" w:cs="Times New Roman"/>
          <w:szCs w:val="28"/>
        </w:rPr>
        <w:t>获奖4</w:t>
      </w:r>
      <w:r>
        <w:rPr>
          <w:rFonts w:hint="default" w:ascii="Times New Roman" w:hAnsi="Times New Roman" w:cs="Times New Roman"/>
          <w:szCs w:val="28"/>
        </w:rPr>
        <w:t>3</w:t>
      </w:r>
      <w:r>
        <w:rPr>
          <w:rFonts w:hint="eastAsia" w:ascii="Times New Roman" w:hAnsi="Times New Roman" w:cs="Times New Roman"/>
          <w:szCs w:val="28"/>
        </w:rPr>
        <w:t>项。教师参加专业技能大赛获</w:t>
      </w:r>
      <w:r>
        <w:rPr>
          <w:rFonts w:ascii="Times New Roman" w:hAnsi="Times New Roman" w:cs="Times New Roman"/>
          <w:szCs w:val="28"/>
        </w:rPr>
        <w:t>奖情况见表3-7。</w:t>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 xml:space="preserve">表3-7  </w:t>
      </w:r>
      <w:r>
        <w:rPr>
          <w:rFonts w:hint="eastAsia" w:ascii="Times New Roman" w:hAnsi="Times New Roman" w:cs="Times New Roman"/>
          <w:b/>
          <w:color w:val="000000" w:themeColor="text1"/>
          <w:kern w:val="2"/>
          <w:sz w:val="21"/>
          <w:szCs w:val="21"/>
          <w:lang w:val="en-US" w:eastAsia="zh-CN"/>
          <w14:textFill>
            <w14:solidFill>
              <w14:schemeClr w14:val="tx1"/>
            </w14:solidFill>
          </w14:textFill>
        </w:rPr>
        <w:t>2020-2021</w:t>
      </w:r>
      <w:r>
        <w:rPr>
          <w:rFonts w:ascii="Times New Roman" w:hAnsi="Times New Roman" w:cs="Times New Roman"/>
          <w:b/>
          <w:color w:val="000000" w:themeColor="text1"/>
          <w:kern w:val="2"/>
          <w:sz w:val="21"/>
          <w:szCs w:val="21"/>
          <w14:textFill>
            <w14:solidFill>
              <w14:schemeClr w14:val="tx1"/>
            </w14:solidFill>
          </w14:textFill>
        </w:rPr>
        <w:t>学年教师参加专业技能大赛获奖统计</w:t>
      </w:r>
    </w:p>
    <w:tbl>
      <w:tblPr>
        <w:tblStyle w:val="17"/>
        <w:tblW w:w="8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432"/>
        <w:gridCol w:w="4599"/>
        <w:gridCol w:w="1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80" w:type="dxa"/>
            <w:shd w:val="clear" w:color="auto" w:fill="C6D9F0" w:themeFill="text2" w:themeFillTint="33"/>
            <w:vAlign w:val="center"/>
          </w:tcPr>
          <w:p>
            <w:pPr>
              <w:pStyle w:val="28"/>
              <w:spacing w:line="240" w:lineRule="auto"/>
              <w:ind w:firstLine="0"/>
              <w:jc w:val="center"/>
              <w:rPr>
                <w:rFonts w:ascii="Times New Roman" w:hAnsi="Times New Roman" w:cs="Times New Roman"/>
                <w:b/>
                <w:sz w:val="21"/>
                <w:szCs w:val="21"/>
              </w:rPr>
            </w:pPr>
            <w:r>
              <w:rPr>
                <w:rFonts w:ascii="Times New Roman" w:hAnsi="Times New Roman" w:cs="Times New Roman"/>
                <w:b/>
                <w:sz w:val="21"/>
                <w:szCs w:val="21"/>
              </w:rPr>
              <w:t>序号</w:t>
            </w:r>
          </w:p>
        </w:tc>
        <w:tc>
          <w:tcPr>
            <w:tcW w:w="1432" w:type="dxa"/>
            <w:shd w:val="clear" w:color="auto" w:fill="C6D9F0" w:themeFill="text2" w:themeFillTint="33"/>
            <w:vAlign w:val="center"/>
          </w:tcPr>
          <w:p>
            <w:pPr>
              <w:pStyle w:val="28"/>
              <w:spacing w:line="240" w:lineRule="auto"/>
              <w:ind w:firstLine="0"/>
              <w:jc w:val="center"/>
              <w:rPr>
                <w:rFonts w:ascii="Times New Roman" w:hAnsi="Times New Roman" w:cs="Times New Roman"/>
                <w:b/>
                <w:sz w:val="21"/>
                <w:szCs w:val="21"/>
              </w:rPr>
            </w:pPr>
            <w:r>
              <w:rPr>
                <w:rFonts w:ascii="Times New Roman" w:hAnsi="Times New Roman" w:cs="Times New Roman"/>
                <w:b/>
                <w:sz w:val="21"/>
                <w:szCs w:val="21"/>
              </w:rPr>
              <w:t>姓名</w:t>
            </w:r>
          </w:p>
        </w:tc>
        <w:tc>
          <w:tcPr>
            <w:tcW w:w="4599" w:type="dxa"/>
            <w:shd w:val="clear" w:color="auto" w:fill="C6D9F0" w:themeFill="text2" w:themeFillTint="33"/>
            <w:vAlign w:val="center"/>
          </w:tcPr>
          <w:p>
            <w:pPr>
              <w:pStyle w:val="28"/>
              <w:spacing w:line="240" w:lineRule="auto"/>
              <w:ind w:firstLine="0"/>
              <w:jc w:val="center"/>
              <w:rPr>
                <w:rFonts w:ascii="Times New Roman" w:hAnsi="Times New Roman" w:cs="Times New Roman"/>
                <w:b/>
                <w:sz w:val="21"/>
                <w:szCs w:val="21"/>
              </w:rPr>
            </w:pPr>
            <w:r>
              <w:rPr>
                <w:rFonts w:hint="eastAsia" w:ascii="Times New Roman" w:hAnsi="Times New Roman" w:cs="Times New Roman"/>
                <w:b/>
                <w:sz w:val="21"/>
                <w:szCs w:val="21"/>
              </w:rPr>
              <w:t>比赛项目</w:t>
            </w:r>
          </w:p>
        </w:tc>
        <w:tc>
          <w:tcPr>
            <w:tcW w:w="1567" w:type="dxa"/>
            <w:shd w:val="clear" w:color="auto" w:fill="C6D9F0" w:themeFill="text2" w:themeFillTint="33"/>
            <w:vAlign w:val="center"/>
          </w:tcPr>
          <w:p>
            <w:pPr>
              <w:pStyle w:val="28"/>
              <w:spacing w:line="240" w:lineRule="auto"/>
              <w:ind w:firstLine="0"/>
              <w:jc w:val="center"/>
              <w:rPr>
                <w:rFonts w:ascii="Times New Roman" w:hAnsi="Times New Roman" w:cs="Times New Roman"/>
                <w:b/>
                <w:sz w:val="21"/>
                <w:szCs w:val="21"/>
              </w:rPr>
            </w:pPr>
            <w:r>
              <w:rPr>
                <w:rFonts w:ascii="Times New Roman" w:hAnsi="Times New Roman" w:cs="Times New Roman"/>
                <w:b/>
                <w:sz w:val="21"/>
                <w:szCs w:val="21"/>
              </w:rPr>
              <w:t>获奖等级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jc w:val="center"/>
              <w:rPr>
                <w:rFonts w:ascii="Times New Roman" w:hAnsi="Times New Roman"/>
                <w:szCs w:val="21"/>
              </w:rPr>
            </w:pPr>
            <w:r>
              <w:rPr>
                <w:rFonts w:hint="eastAsia" w:ascii="Times New Roman" w:hAnsi="Times New Roman"/>
                <w:szCs w:val="21"/>
              </w:rPr>
              <w:t>1</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马学艳</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工业分析检验</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一等奖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2</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马明珠</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化工生产技术</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一等奖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3</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李永梅</w:t>
            </w:r>
          </w:p>
        </w:tc>
        <w:tc>
          <w:tcPr>
            <w:tcW w:w="45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化工生产技术</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一等奖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4</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永梅、刘宇、白雪、董志刚</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幼儿园教育活动设计</w:t>
            </w:r>
            <w:r>
              <w:rPr>
                <w:rFonts w:hint="default" w:ascii="Times New Roman" w:hAnsi="Times New Roman" w:eastAsia="宋体" w:cs="Times New Roman"/>
                <w:i w:val="0"/>
                <w:iCs w:val="0"/>
                <w:color w:val="000000"/>
                <w:kern w:val="0"/>
                <w:sz w:val="21"/>
                <w:szCs w:val="21"/>
                <w:u w:val="none"/>
                <w:lang w:val="en-US" w:eastAsia="zh-CN" w:bidi="ar"/>
              </w:rPr>
              <w:t>B</w:t>
            </w:r>
            <w:r>
              <w:rPr>
                <w:rStyle w:val="49"/>
                <w:lang w:val="en-US" w:eastAsia="zh-CN" w:bidi="ar"/>
              </w:rPr>
              <w:t>组幼儿保育</w:t>
            </w:r>
            <w:r>
              <w:rPr>
                <w:rFonts w:hint="default" w:ascii="Times New Roman" w:hAnsi="Times New Roman" w:eastAsia="宋体" w:cs="Times New Roman"/>
                <w:i w:val="0"/>
                <w:iCs w:val="0"/>
                <w:color w:val="000000"/>
                <w:kern w:val="0"/>
                <w:sz w:val="21"/>
                <w:szCs w:val="21"/>
                <w:u w:val="none"/>
                <w:lang w:val="en-US" w:eastAsia="zh-CN" w:bidi="ar"/>
              </w:rPr>
              <w:t>B</w:t>
            </w:r>
            <w:r>
              <w:rPr>
                <w:rStyle w:val="49"/>
                <w:lang w:val="en-US" w:eastAsia="zh-CN" w:bidi="ar"/>
              </w:rPr>
              <w:t>组（幼儿保育综合知识素养、故事绘画）</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一等奖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5</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李玉鑫</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数字影音后期制作技术</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一等奖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6</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马惠芹</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网页设计与制作</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一等奖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hint="eastAsia" w:ascii="Times New Roman" w:hAnsi="Times New Roman"/>
                <w:szCs w:val="21"/>
              </w:rPr>
              <w:t>7</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张国强</w:t>
            </w:r>
          </w:p>
        </w:tc>
        <w:tc>
          <w:tcPr>
            <w:tcW w:w="45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汽车机电维修</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一等奖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hint="eastAsia" w:ascii="Times New Roman" w:hAnsi="Times New Roman"/>
                <w:szCs w:val="21"/>
              </w:rPr>
              <w:t>8</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马学艳</w:t>
            </w:r>
          </w:p>
        </w:tc>
        <w:tc>
          <w:tcPr>
            <w:tcW w:w="45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工业分析检验</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hint="eastAsia" w:ascii="Times New Roman" w:hAnsi="Times New Roman"/>
                <w:szCs w:val="21"/>
              </w:rPr>
              <w:t>9</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邵千鑫</w:t>
            </w:r>
          </w:p>
        </w:tc>
        <w:tc>
          <w:tcPr>
            <w:tcW w:w="45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工业分析检验</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hint="eastAsia" w:ascii="Times New Roman" w:hAnsi="Times New Roman"/>
                <w:szCs w:val="21"/>
              </w:rPr>
              <w:t>10</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王延花</w:t>
            </w:r>
          </w:p>
        </w:tc>
        <w:tc>
          <w:tcPr>
            <w:tcW w:w="45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工业分析检验</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hint="eastAsia" w:ascii="Times New Roman" w:hAnsi="Times New Roman"/>
                <w:szCs w:val="21"/>
              </w:rPr>
              <w:t>11</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 xml:space="preserve">拉 </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毛</w:t>
            </w:r>
          </w:p>
        </w:tc>
        <w:tc>
          <w:tcPr>
            <w:tcW w:w="45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工业分析检验</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hint="eastAsia" w:ascii="Times New Roman" w:hAnsi="Times New Roman"/>
                <w:szCs w:val="21"/>
              </w:rPr>
              <w:t>12</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应凯业</w:t>
            </w:r>
          </w:p>
        </w:tc>
        <w:tc>
          <w:tcPr>
            <w:tcW w:w="45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化工仪表自动化</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hint="eastAsia" w:ascii="Times New Roman" w:hAnsi="Times New Roman"/>
                <w:szCs w:val="21"/>
              </w:rPr>
              <w:t>13</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王治臣</w:t>
            </w:r>
          </w:p>
        </w:tc>
        <w:tc>
          <w:tcPr>
            <w:tcW w:w="45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化工仪表自动化</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14</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韩文霞</w:t>
            </w:r>
          </w:p>
        </w:tc>
        <w:tc>
          <w:tcPr>
            <w:tcW w:w="45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装配钳工技术</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15</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韩文霞</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机械装配技术</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hint="eastAsia" w:ascii="Times New Roman" w:hAnsi="Times New Roman"/>
                <w:szCs w:val="21"/>
              </w:rPr>
              <w:t>16</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 xml:space="preserve">孙 </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倩</w:t>
            </w:r>
          </w:p>
        </w:tc>
        <w:tc>
          <w:tcPr>
            <w:tcW w:w="45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电气安装与维修</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hint="eastAsia" w:ascii="Times New Roman" w:hAnsi="Times New Roman"/>
                <w:szCs w:val="21"/>
              </w:rPr>
              <w:t>17</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 xml:space="preserve">吴 </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辉</w:t>
            </w:r>
          </w:p>
        </w:tc>
        <w:tc>
          <w:tcPr>
            <w:tcW w:w="45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电气安装与维修</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18</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禹建伟、刘鑫、白雪、格桑措毛</w:t>
            </w:r>
          </w:p>
        </w:tc>
        <w:tc>
          <w:tcPr>
            <w:tcW w:w="45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幼儿园教育活动设计</w:t>
            </w:r>
            <w:r>
              <w:rPr>
                <w:rFonts w:hint="default" w:ascii="Times New Roman" w:hAnsi="Times New Roman" w:eastAsia="宋体" w:cs="Times New Roman"/>
                <w:i w:val="0"/>
                <w:iCs w:val="0"/>
                <w:color w:val="000000"/>
                <w:kern w:val="0"/>
                <w:sz w:val="21"/>
                <w:szCs w:val="21"/>
                <w:u w:val="none"/>
                <w:lang w:val="en-US" w:eastAsia="zh-CN" w:bidi="ar"/>
              </w:rPr>
              <w:t>A</w:t>
            </w:r>
            <w:r>
              <w:rPr>
                <w:rFonts w:hint="eastAsia" w:ascii="宋体" w:hAnsi="宋体" w:eastAsia="宋体" w:cs="宋体"/>
                <w:i w:val="0"/>
                <w:iCs w:val="0"/>
                <w:color w:val="000000"/>
                <w:kern w:val="0"/>
                <w:sz w:val="21"/>
                <w:szCs w:val="21"/>
                <w:u w:val="none"/>
                <w:lang w:val="en-US" w:eastAsia="zh-CN" w:bidi="ar"/>
              </w:rPr>
              <w:t>组（幼儿保育实操幼儿照护、故事讲述</w:t>
            </w:r>
            <w:r>
              <w:rPr>
                <w:rFonts w:hint="eastAsia" w:ascii="宋体" w:hAnsi="宋体" w:cs="宋体"/>
                <w:i w:val="0"/>
                <w:iCs w:val="0"/>
                <w:color w:val="000000"/>
                <w:kern w:val="0"/>
                <w:sz w:val="21"/>
                <w:szCs w:val="21"/>
                <w:u w:val="none"/>
                <w:lang w:val="en-US" w:eastAsia="zh-CN" w:bidi="ar"/>
              </w:rPr>
              <w:t>）</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19</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马惠芹</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网页设计与制作</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hint="eastAsia" w:ascii="Times New Roman" w:hAnsi="Times New Roman"/>
                <w:szCs w:val="21"/>
              </w:rPr>
              <w:t>20</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张凤环</w:t>
            </w:r>
          </w:p>
        </w:tc>
        <w:tc>
          <w:tcPr>
            <w:tcW w:w="45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网页设计与制作</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hint="eastAsia" w:ascii="Times New Roman" w:hAnsi="Times New Roman"/>
                <w:szCs w:val="21"/>
              </w:rPr>
              <w:t>21</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马惠芹</w:t>
            </w:r>
          </w:p>
        </w:tc>
        <w:tc>
          <w:tcPr>
            <w:tcW w:w="45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网页设计与制作</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22</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孙成寿</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汽车机电维修</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23</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李小艳</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护理技能大赛</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24</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邵千鑫</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工业分析检验</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25</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卢永强</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零部件测绘与</w:t>
            </w:r>
            <w:r>
              <w:rPr>
                <w:rFonts w:hint="default" w:ascii="Times New Roman" w:hAnsi="Times New Roman" w:eastAsia="宋体" w:cs="Times New Roman"/>
                <w:i w:val="0"/>
                <w:iCs w:val="0"/>
                <w:color w:val="000000"/>
                <w:kern w:val="0"/>
                <w:sz w:val="21"/>
                <w:szCs w:val="21"/>
                <w:u w:val="none"/>
                <w:lang w:val="en-US" w:eastAsia="zh-CN" w:bidi="ar"/>
              </w:rPr>
              <w:t>CAD</w:t>
            </w:r>
            <w:r>
              <w:rPr>
                <w:rFonts w:hint="eastAsia" w:ascii="宋体" w:hAnsi="宋体" w:eastAsia="宋体" w:cs="宋体"/>
                <w:i w:val="0"/>
                <w:iCs w:val="0"/>
                <w:color w:val="000000"/>
                <w:kern w:val="0"/>
                <w:sz w:val="21"/>
                <w:szCs w:val="21"/>
                <w:u w:val="none"/>
                <w:lang w:val="en-US" w:eastAsia="zh-CN" w:bidi="ar"/>
              </w:rPr>
              <w:t>成图技术</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ascii="Times New Roman" w:hAnsi="Times New Roman" w:cs="Times New Roman"/>
                <w:sz w:val="21"/>
                <w:szCs w:val="21"/>
              </w:rPr>
              <w:t>2</w:t>
            </w:r>
            <w:r>
              <w:rPr>
                <w:rFonts w:hint="eastAsia" w:ascii="Times New Roman" w:hAnsi="Times New Roman" w:cs="Times New Roman"/>
                <w:sz w:val="21"/>
                <w:szCs w:val="21"/>
              </w:rPr>
              <w:t>6</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孟祥琳</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零部件测绘与</w:t>
            </w:r>
            <w:r>
              <w:rPr>
                <w:rFonts w:hint="default" w:ascii="Times New Roman" w:hAnsi="Times New Roman" w:eastAsia="宋体" w:cs="Times New Roman"/>
                <w:i w:val="0"/>
                <w:iCs w:val="0"/>
                <w:color w:val="000000"/>
                <w:kern w:val="0"/>
                <w:sz w:val="21"/>
                <w:szCs w:val="21"/>
                <w:u w:val="none"/>
                <w:lang w:val="en-US" w:eastAsia="zh-CN" w:bidi="ar"/>
              </w:rPr>
              <w:t>CAD</w:t>
            </w:r>
            <w:r>
              <w:rPr>
                <w:rFonts w:hint="eastAsia" w:ascii="宋体" w:hAnsi="宋体" w:eastAsia="宋体" w:cs="宋体"/>
                <w:i w:val="0"/>
                <w:iCs w:val="0"/>
                <w:color w:val="000000"/>
                <w:kern w:val="0"/>
                <w:sz w:val="21"/>
                <w:szCs w:val="21"/>
                <w:u w:val="none"/>
                <w:lang w:val="en-US" w:eastAsia="zh-CN" w:bidi="ar"/>
              </w:rPr>
              <w:t>成图技术</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27</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王延花</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工业分析检验</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28</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 xml:space="preserve">拉 </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毛</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工业分析检验</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29</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李广明</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化工设备维修</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30</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高侠武</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化工设备维修</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31</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张学舜</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装配钳工技术</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32</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张维昱</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3D</w:t>
            </w:r>
            <w:r>
              <w:rPr>
                <w:rFonts w:hint="eastAsia" w:ascii="宋体" w:hAnsi="宋体" w:eastAsia="宋体" w:cs="宋体"/>
                <w:i w:val="0"/>
                <w:iCs w:val="0"/>
                <w:color w:val="000000"/>
                <w:kern w:val="0"/>
                <w:sz w:val="21"/>
                <w:szCs w:val="21"/>
                <w:u w:val="none"/>
                <w:lang w:val="en-US" w:eastAsia="zh-CN" w:bidi="ar"/>
              </w:rPr>
              <w:t>”打印应用综合技术</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33</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张学舜</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机械装配技术</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34</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马雪梅</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电子产品装配与运行监测</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35</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hint="eastAsia" w:ascii="Times New Roman" w:hAnsi="Times New Roman"/>
                <w:sz w:val="21"/>
                <w:szCs w:val="21"/>
              </w:rPr>
            </w:pPr>
            <w:r>
              <w:rPr>
                <w:rFonts w:hint="eastAsia" w:ascii="宋体" w:hAnsi="宋体" w:eastAsia="宋体" w:cs="宋体"/>
                <w:i w:val="0"/>
                <w:iCs w:val="0"/>
                <w:color w:val="000000"/>
                <w:kern w:val="0"/>
                <w:sz w:val="21"/>
                <w:szCs w:val="21"/>
                <w:u w:val="none"/>
                <w:lang w:val="en-US" w:eastAsia="zh-CN" w:bidi="ar"/>
              </w:rPr>
              <w:t>冯翠婷</w:t>
            </w:r>
          </w:p>
        </w:tc>
        <w:tc>
          <w:tcPr>
            <w:tcW w:w="45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单片机控制装置安装与调试</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36</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 xml:space="preserve">周 </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伟</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机电一体化设备组装与调试</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37</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尹兰花</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机电一体化设备组装与调试</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Times New Roman" w:hAnsi="Times New Roman"/>
                <w:szCs w:val="21"/>
              </w:rPr>
            </w:pPr>
            <w:r>
              <w:rPr>
                <w:rFonts w:hint="eastAsia" w:ascii="Times New Roman" w:hAnsi="Times New Roman"/>
                <w:szCs w:val="21"/>
              </w:rPr>
              <w:t>38</w:t>
            </w:r>
          </w:p>
        </w:tc>
        <w:tc>
          <w:tcPr>
            <w:tcW w:w="143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 xml:space="preserve">孙 </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倩</w:t>
            </w:r>
          </w:p>
        </w:tc>
        <w:tc>
          <w:tcPr>
            <w:tcW w:w="459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电气安装与维修</w:t>
            </w:r>
          </w:p>
        </w:tc>
        <w:tc>
          <w:tcPr>
            <w:tcW w:w="156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39</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 xml:space="preserve">王 </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蕾</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电气安装与维修</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40</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 xml:space="preserve">汪 </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丽</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数字影音后期制作技术</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41</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孙生凤</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护理技能大赛</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42</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 xml:space="preserve">姚 </w:t>
            </w:r>
            <w:r>
              <w:rPr>
                <w:rFonts w:hint="default" w:ascii="Times New Roman" w:hAnsi="Times New Roman" w:eastAsia="宋体" w:cs="Times New Roman"/>
                <w:i w:val="0"/>
                <w:iCs w:val="0"/>
                <w:color w:val="000000"/>
                <w:kern w:val="0"/>
                <w:sz w:val="21"/>
                <w:szCs w:val="21"/>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蔚</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护理技能大赛</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0" w:type="dxa"/>
            <w:shd w:val="clear" w:color="auto" w:fill="auto"/>
            <w:vAlign w:val="center"/>
          </w:tcPr>
          <w:p>
            <w:pPr>
              <w:pStyle w:val="28"/>
              <w:spacing w:line="240" w:lineRule="auto"/>
              <w:ind w:firstLine="0"/>
              <w:jc w:val="center"/>
              <w:rPr>
                <w:rFonts w:ascii="Times New Roman" w:hAnsi="Times New Roman" w:cs="Times New Roman"/>
                <w:sz w:val="21"/>
                <w:szCs w:val="21"/>
              </w:rPr>
            </w:pPr>
            <w:r>
              <w:rPr>
                <w:rFonts w:hint="eastAsia" w:ascii="Times New Roman" w:hAnsi="Times New Roman" w:cs="Times New Roman"/>
                <w:sz w:val="21"/>
                <w:szCs w:val="21"/>
              </w:rPr>
              <w:t>43</w:t>
            </w:r>
          </w:p>
        </w:tc>
        <w:tc>
          <w:tcPr>
            <w:tcW w:w="1432"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孙生凤</w:t>
            </w:r>
          </w:p>
        </w:tc>
        <w:tc>
          <w:tcPr>
            <w:tcW w:w="4599"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护理技能大赛</w:t>
            </w:r>
          </w:p>
        </w:tc>
        <w:tc>
          <w:tcPr>
            <w:tcW w:w="1567" w:type="dxa"/>
            <w:shd w:val="clear" w:color="auto" w:fill="auto"/>
            <w:vAlign w:val="center"/>
          </w:tcPr>
          <w:p>
            <w:pPr>
              <w:keepNext w:val="0"/>
              <w:keepLines w:val="0"/>
              <w:widowControl/>
              <w:suppressLineNumbers w:val="0"/>
              <w:jc w:val="center"/>
              <w:textAlignment w:val="center"/>
              <w:rPr>
                <w:rFonts w:ascii="Times New Roman" w:hAnsi="Times New Roman"/>
                <w:szCs w:val="21"/>
              </w:rPr>
            </w:pPr>
            <w:r>
              <w:rPr>
                <w:rFonts w:hint="eastAsia" w:ascii="宋体" w:hAnsi="宋体" w:eastAsia="宋体" w:cs="宋体"/>
                <w:i w:val="0"/>
                <w:iCs w:val="0"/>
                <w:color w:val="000000"/>
                <w:kern w:val="0"/>
                <w:sz w:val="21"/>
                <w:szCs w:val="21"/>
                <w:u w:val="none"/>
                <w:lang w:val="en-US" w:eastAsia="zh-CN" w:bidi="ar"/>
              </w:rPr>
              <w:t>三等奖</w:t>
            </w:r>
          </w:p>
        </w:tc>
      </w:tr>
    </w:tbl>
    <w:p>
      <w:pPr>
        <w:pStyle w:val="5"/>
        <w:rPr>
          <w:rFonts w:ascii="Times New Roman" w:hAnsi="Times New Roman"/>
        </w:rPr>
      </w:pPr>
      <w:bookmarkStart w:id="63" w:name="_Toc4938"/>
      <w:bookmarkStart w:id="64" w:name="_Toc61256683"/>
      <w:r>
        <w:rPr>
          <w:rFonts w:ascii="Times New Roman" w:hAnsi="Times New Roman"/>
        </w:rPr>
        <w:t>（四）规范管理情况</w:t>
      </w:r>
      <w:bookmarkEnd w:id="63"/>
      <w:bookmarkEnd w:id="64"/>
    </w:p>
    <w:p>
      <w:pPr>
        <w:pStyle w:val="34"/>
        <w:spacing w:line="300" w:lineRule="auto"/>
        <w:ind w:firstLine="480"/>
        <w:rPr>
          <w:rFonts w:ascii="Times New Roman" w:hAnsi="Times New Roman" w:cs="Times New Roman"/>
          <w:bCs/>
          <w:sz w:val="24"/>
        </w:rPr>
      </w:pPr>
      <w:bookmarkStart w:id="65" w:name="_Hlk31898884"/>
      <w:r>
        <w:rPr>
          <w:rFonts w:hint="eastAsia" w:ascii="Times New Roman" w:hAnsi="Times New Roman" w:cs="Times New Roman"/>
          <w:bCs/>
          <w:sz w:val="24"/>
        </w:rPr>
        <w:t>深入</w:t>
      </w:r>
      <w:r>
        <w:rPr>
          <w:rFonts w:hint="eastAsia" w:ascii="Times New Roman" w:hAnsi="Times New Roman" w:cs="Times New Roman"/>
          <w:b w:val="0"/>
          <w:bCs/>
          <w:sz w:val="24"/>
        </w:rPr>
        <w:t>贯彻落实《国家职业教育改革实施方案》《深化新时代教育评价改革总体方案》</w:t>
      </w:r>
      <w:r>
        <w:rPr>
          <w:rFonts w:hint="eastAsia" w:ascii="Times New Roman" w:hAnsi="Times New Roman" w:cs="Times New Roman"/>
          <w:b w:val="0"/>
          <w:bCs/>
          <w:sz w:val="24"/>
          <w:lang w:eastAsia="zh-CN"/>
        </w:rPr>
        <w:t>《关于推动现代职业教育高质量发展的意见》《关于进一步加快现代职业教育改革发展的若干意见》</w:t>
      </w:r>
      <w:r>
        <w:rPr>
          <w:rFonts w:hint="eastAsia" w:ascii="Times New Roman" w:hAnsi="Times New Roman" w:cs="Times New Roman"/>
          <w:b w:val="0"/>
          <w:bCs/>
          <w:sz w:val="24"/>
        </w:rPr>
        <w:t>，</w:t>
      </w:r>
      <w:r>
        <w:rPr>
          <w:rFonts w:hint="eastAsia" w:ascii="Times New Roman" w:hAnsi="Times New Roman" w:cs="Times New Roman"/>
          <w:bCs/>
          <w:sz w:val="24"/>
        </w:rPr>
        <w:t>规范学校管理、深化教学改革、完善制度体系、健全运行机制，促进学校内涵式发展。</w:t>
      </w:r>
    </w:p>
    <w:p>
      <w:pPr>
        <w:pStyle w:val="34"/>
        <w:spacing w:line="300" w:lineRule="auto"/>
        <w:ind w:firstLine="482"/>
        <w:rPr>
          <w:rFonts w:hint="eastAsia" w:ascii="Times New Roman" w:hAnsi="Times New Roman" w:cs="Times New Roman"/>
          <w:b w:val="0"/>
          <w:bCs/>
          <w:sz w:val="24"/>
        </w:rPr>
      </w:pPr>
      <w:r>
        <w:rPr>
          <w:rFonts w:hint="eastAsia" w:ascii="Times New Roman" w:hAnsi="Times New Roman" w:cs="Times New Roman"/>
          <w:b w:val="0"/>
          <w:bCs/>
          <w:sz w:val="24"/>
        </w:rPr>
        <w:t>学校推进依法治校，调整内部治理结构。依照学校章程、学校发展规划和年度工作计划，依法建立健全学校校务公开、班级管理、课堂教学、实训实习、社团活动、校园安全、后勤服务、疫情防控等管理制度，修订完善了多项管理制度；严格执行招标采购、教育收费、招生入学等政策，切实规范教材、教辅资料征订等行为；积极推动“法律进校园”工作。聘请学校法律顾问，开展依法治教风险防控教师普法活动和“增强法制意识，学会自我保护”学生法制教育讲座，学校内部治理体系法治化、科学化水平不断提高。</w:t>
      </w:r>
    </w:p>
    <w:p>
      <w:pPr>
        <w:pStyle w:val="34"/>
        <w:spacing w:line="300" w:lineRule="auto"/>
        <w:ind w:firstLine="482"/>
        <w:rPr>
          <w:rFonts w:ascii="Times New Roman" w:hAnsi="Times New Roman" w:cs="Times New Roman"/>
          <w:b w:val="0"/>
          <w:bCs/>
          <w:sz w:val="24"/>
        </w:rPr>
      </w:pPr>
      <w:r>
        <w:rPr>
          <w:rFonts w:hint="eastAsia" w:ascii="Times New Roman" w:hAnsi="Times New Roman" w:cs="Times New Roman"/>
          <w:b w:val="0"/>
          <w:bCs/>
          <w:sz w:val="24"/>
        </w:rPr>
        <w:t>学校在防疫工作中坚持按照统一部署做好防控物资的采购、储备及发放，常规的环境消毒及记录，所有外聘员工的信息收集上报及防疫思想教育工作，确保高度重视防疫工作，扎扎实实做好防疫工作的同时保证本职工作不松懈。严格执行重大基建维修上报审批制度，切实做好基建维修工作，加强校舍规范化建设。</w:t>
      </w:r>
      <w:bookmarkEnd w:id="65"/>
    </w:p>
    <w:p>
      <w:pPr>
        <w:pStyle w:val="5"/>
        <w:rPr>
          <w:rFonts w:ascii="Times New Roman" w:hAnsi="Times New Roman"/>
        </w:rPr>
      </w:pPr>
      <w:bookmarkStart w:id="66" w:name="_Toc12502"/>
      <w:bookmarkStart w:id="67" w:name="_Toc61256684"/>
      <w:r>
        <w:rPr>
          <w:rFonts w:ascii="Times New Roman" w:hAnsi="Times New Roman"/>
        </w:rPr>
        <w:t>（五）德育工作情况</w:t>
      </w:r>
      <w:bookmarkEnd w:id="66"/>
      <w:bookmarkEnd w:id="67"/>
    </w:p>
    <w:p>
      <w:pPr>
        <w:spacing w:line="300" w:lineRule="auto"/>
        <w:ind w:firstLine="480" w:firstLineChars="200"/>
        <w:rPr>
          <w:rFonts w:ascii="Times New Roman" w:hAnsi="Times New Roman"/>
          <w:sz w:val="24"/>
          <w:szCs w:val="28"/>
        </w:rPr>
      </w:pPr>
      <w:r>
        <w:rPr>
          <w:rFonts w:hint="eastAsia" w:ascii="Times New Roman" w:hAnsi="Times New Roman"/>
          <w:sz w:val="24"/>
          <w:szCs w:val="28"/>
        </w:rPr>
        <w:t>德育是学校实施素质教育的重要组成部分，学校全面贯彻落实上级文件精神，按照“育人为本，德育为先”的要求，围绕校园文化建设，积极开展各类主题教育活动，努力培养举止文明、品德优良、心理健康且富有创新精神的一代新人。学校严格</w:t>
      </w:r>
      <w:r>
        <w:rPr>
          <w:rFonts w:ascii="Times New Roman" w:hAnsi="Times New Roman"/>
          <w:sz w:val="24"/>
          <w:szCs w:val="28"/>
        </w:rPr>
        <w:t>按照</w:t>
      </w:r>
      <w:r>
        <w:rPr>
          <w:rFonts w:hint="eastAsia" w:ascii="Times New Roman" w:hAnsi="Times New Roman"/>
          <w:sz w:val="24"/>
          <w:szCs w:val="28"/>
        </w:rPr>
        <w:t>教育部</w:t>
      </w:r>
      <w:r>
        <w:rPr>
          <w:rFonts w:ascii="Times New Roman" w:hAnsi="Times New Roman"/>
          <w:sz w:val="24"/>
          <w:szCs w:val="28"/>
        </w:rPr>
        <w:t>要求开设德育课程并使用国家规范</w:t>
      </w:r>
      <w:r>
        <w:rPr>
          <w:rFonts w:hint="eastAsia" w:ascii="Times New Roman" w:hAnsi="Times New Roman"/>
          <w:sz w:val="24"/>
          <w:szCs w:val="28"/>
        </w:rPr>
        <w:t>教材。</w:t>
      </w:r>
    </w:p>
    <w:p>
      <w:pPr>
        <w:pStyle w:val="34"/>
        <w:ind w:firstLine="562"/>
        <w:rPr>
          <w:rFonts w:hint="eastAsia" w:ascii="Times New Roman" w:hAnsi="Times New Roman" w:cs="Times New Roman"/>
          <w:b/>
        </w:rPr>
      </w:pPr>
      <w:r>
        <w:rPr>
          <w:rFonts w:hint="eastAsia" w:ascii="Times New Roman" w:hAnsi="Times New Roman" w:cs="Times New Roman"/>
          <w:b/>
        </w:rPr>
        <w:t>1.德育教育队伍建设</w:t>
      </w:r>
    </w:p>
    <w:p>
      <w:pPr>
        <w:spacing w:line="300" w:lineRule="auto"/>
        <w:ind w:firstLine="480" w:firstLineChars="200"/>
        <w:rPr>
          <w:rFonts w:hint="eastAsia" w:ascii="Times New Roman" w:hAnsi="Times New Roman" w:cs="Times New Roman"/>
          <w:b w:val="0"/>
          <w:sz w:val="24"/>
          <w:szCs w:val="28"/>
        </w:rPr>
      </w:pPr>
      <w:r>
        <w:rPr>
          <w:rFonts w:hint="default" w:ascii="Times New Roman" w:hAnsi="Times New Roman"/>
          <w:sz w:val="24"/>
          <w:szCs w:val="28"/>
        </w:rPr>
        <w:t>学校组建德育工作领导组，构建学校、家庭、社区和企业四位一体德育工作组织网络，实施“人人都是德育工作者”的德育工作全员目标管理。建立德育工作队伍，争取多方合力，提高德育管理水平。坚持以责任教育为主线、以爱国教育、安全教育、感恩教育、养成教育、法制教育、心理健康教育、环境教育为重点，确定每月一个德育工作教育主题。</w:t>
      </w:r>
    </w:p>
    <w:p>
      <w:pPr>
        <w:pStyle w:val="34"/>
        <w:ind w:firstLine="562"/>
        <w:rPr>
          <w:rFonts w:ascii="Times New Roman" w:hAnsi="Times New Roman" w:cs="Times New Roman"/>
          <w:b/>
        </w:rPr>
      </w:pPr>
      <w:r>
        <w:rPr>
          <w:rFonts w:hint="eastAsia" w:ascii="Times New Roman" w:hAnsi="Times New Roman" w:cs="Times New Roman"/>
          <w:b/>
          <w:lang w:val="en-US" w:eastAsia="zh-CN"/>
        </w:rPr>
        <w:t>2</w:t>
      </w:r>
      <w:r>
        <w:rPr>
          <w:rFonts w:ascii="Times New Roman" w:hAnsi="Times New Roman" w:cs="Times New Roman"/>
          <w:b/>
        </w:rPr>
        <w:t>.</w:t>
      </w:r>
      <w:r>
        <w:rPr>
          <w:rFonts w:hint="eastAsia" w:ascii="Times New Roman" w:hAnsi="Times New Roman" w:cs="Times New Roman"/>
          <w:b/>
        </w:rPr>
        <w:t>学生干部队伍建设</w:t>
      </w:r>
    </w:p>
    <w:p>
      <w:pPr>
        <w:spacing w:line="300" w:lineRule="auto"/>
        <w:ind w:firstLine="480" w:firstLineChars="200"/>
        <w:rPr>
          <w:rFonts w:ascii="Times New Roman" w:hAnsi="Times New Roman"/>
          <w:sz w:val="24"/>
          <w:szCs w:val="28"/>
        </w:rPr>
      </w:pPr>
      <w:r>
        <w:rPr>
          <w:rFonts w:hint="eastAsia" w:ascii="Times New Roman" w:hAnsi="Times New Roman"/>
          <w:sz w:val="24"/>
          <w:szCs w:val="28"/>
        </w:rPr>
        <w:t>结合青年大学习活动，</w:t>
      </w:r>
      <w:r>
        <w:rPr>
          <w:rFonts w:hint="eastAsia" w:ascii="Times New Roman" w:hAnsi="Times New Roman"/>
          <w:sz w:val="24"/>
          <w:szCs w:val="28"/>
          <w:highlight w:val="none"/>
        </w:rPr>
        <w:t>推动全</w:t>
      </w:r>
      <w:r>
        <w:rPr>
          <w:rFonts w:hint="eastAsia" w:ascii="Times New Roman" w:hAnsi="Times New Roman"/>
          <w:sz w:val="24"/>
          <w:szCs w:val="28"/>
          <w:highlight w:val="none"/>
          <w:lang w:val="en-US" w:eastAsia="zh-CN"/>
        </w:rPr>
        <w:t>校</w:t>
      </w:r>
      <w:r>
        <w:rPr>
          <w:rFonts w:hint="eastAsia" w:ascii="Times New Roman" w:hAnsi="Times New Roman"/>
          <w:sz w:val="24"/>
          <w:szCs w:val="28"/>
          <w:highlight w:val="none"/>
        </w:rPr>
        <w:t>学生干部素质建设，力促每一名学生干部明白纪律的重要性，做文明学生的排头兵。全</w:t>
      </w:r>
      <w:r>
        <w:rPr>
          <w:rFonts w:hint="eastAsia" w:ascii="Times New Roman" w:hAnsi="Times New Roman"/>
          <w:sz w:val="24"/>
          <w:szCs w:val="28"/>
          <w:highlight w:val="none"/>
          <w:lang w:val="en-US" w:eastAsia="zh-CN"/>
        </w:rPr>
        <w:t>校</w:t>
      </w:r>
      <w:r>
        <w:rPr>
          <w:rFonts w:hint="eastAsia" w:ascii="Times New Roman" w:hAnsi="Times New Roman"/>
          <w:sz w:val="24"/>
          <w:szCs w:val="28"/>
          <w:highlight w:val="none"/>
        </w:rPr>
        <w:t>6栋宿舍楼共设38个楼长，协助宿管老师、班主任及维稳值班老师应对各种突发事件，发现问题及时有效处理，并按学</w:t>
      </w:r>
      <w:r>
        <w:rPr>
          <w:rFonts w:hint="eastAsia" w:ascii="Times New Roman" w:hAnsi="Times New Roman"/>
          <w:sz w:val="24"/>
          <w:szCs w:val="28"/>
          <w:highlight w:val="none"/>
          <w:lang w:val="en-US" w:eastAsia="zh-CN"/>
        </w:rPr>
        <w:t>校</w:t>
      </w:r>
      <w:r>
        <w:rPr>
          <w:rFonts w:hint="eastAsia" w:ascii="Times New Roman" w:hAnsi="Times New Roman"/>
          <w:sz w:val="24"/>
          <w:szCs w:val="28"/>
          <w:highlight w:val="none"/>
        </w:rPr>
        <w:t>学生管理规定及时、如实上报，不瞒报、迟报或漏报，重点做好日常不定期的查寝工作。定期开</w:t>
      </w:r>
      <w:r>
        <w:rPr>
          <w:rFonts w:hint="eastAsia" w:ascii="Times New Roman" w:hAnsi="Times New Roman"/>
          <w:sz w:val="24"/>
          <w:szCs w:val="28"/>
        </w:rPr>
        <w:t>展团课活动，结合党史教育及重大节庆认真组织主题团日活动，</w:t>
      </w:r>
      <w:r>
        <w:rPr>
          <w:rFonts w:hint="eastAsia" w:ascii="Times New Roman" w:hAnsi="Times New Roman"/>
          <w:sz w:val="24"/>
          <w:szCs w:val="28"/>
          <w:lang w:val="en-US" w:eastAsia="zh-CN"/>
        </w:rPr>
        <w:t>2</w:t>
      </w:r>
      <w:r>
        <w:rPr>
          <w:rFonts w:hint="eastAsia" w:ascii="Times New Roman" w:hAnsi="Times New Roman"/>
          <w:sz w:val="24"/>
          <w:szCs w:val="28"/>
          <w:highlight w:val="none"/>
          <w:lang w:val="en-US" w:eastAsia="zh-CN"/>
        </w:rPr>
        <w:t>021年</w:t>
      </w:r>
      <w:r>
        <w:rPr>
          <w:rFonts w:hint="eastAsia" w:ascii="Times New Roman" w:hAnsi="Times New Roman"/>
          <w:sz w:val="24"/>
          <w:szCs w:val="28"/>
          <w:highlight w:val="none"/>
        </w:rPr>
        <w:t>上半年在“柴院青年公众号”“柴院青听”“党史故</w:t>
      </w:r>
      <w:r>
        <w:rPr>
          <w:rFonts w:hint="eastAsia" w:ascii="Times New Roman" w:hAnsi="Times New Roman"/>
          <w:sz w:val="24"/>
          <w:szCs w:val="28"/>
        </w:rPr>
        <w:t>事小讲堂”等栏目开辟了新的教育阵地，并组织团干部开展农垦文化教育基地、公路段党史教育学习基地实践活动。组织优秀团干部开展植树、清扫校园等活动。</w:t>
      </w:r>
    </w:p>
    <w:p>
      <w:pPr>
        <w:pStyle w:val="34"/>
        <w:ind w:firstLine="562"/>
        <w:rPr>
          <w:rFonts w:ascii="Times New Roman" w:hAnsi="Times New Roman" w:cs="Times New Roman"/>
          <w:b/>
          <w:color w:val="000000" w:themeColor="text1"/>
          <w14:textFill>
            <w14:solidFill>
              <w14:schemeClr w14:val="tx1"/>
            </w14:solidFill>
          </w14:textFill>
        </w:rPr>
      </w:pPr>
      <w:r>
        <w:rPr>
          <w:rFonts w:hint="eastAsia" w:ascii="Times New Roman" w:hAnsi="Times New Roman" w:cs="Times New Roman"/>
          <w:b/>
          <w:color w:val="000000" w:themeColor="text1"/>
          <w:lang w:val="en-US" w:eastAsia="zh-CN"/>
          <w14:textFill>
            <w14:solidFill>
              <w14:schemeClr w14:val="tx1"/>
            </w14:solidFill>
          </w14:textFill>
        </w:rPr>
        <w:t>3</w:t>
      </w:r>
      <w:r>
        <w:rPr>
          <w:rFonts w:ascii="Times New Roman" w:hAnsi="Times New Roman" w:cs="Times New Roman"/>
          <w:b/>
          <w:color w:val="000000" w:themeColor="text1"/>
          <w14:textFill>
            <w14:solidFill>
              <w14:schemeClr w14:val="tx1"/>
            </w14:solidFill>
          </w14:textFill>
        </w:rPr>
        <w:t>.</w:t>
      </w:r>
      <w:r>
        <w:rPr>
          <w:rFonts w:hint="eastAsia" w:ascii="Times New Roman" w:hAnsi="Times New Roman" w:cs="Times New Roman"/>
          <w:b/>
          <w:color w:val="000000" w:themeColor="text1"/>
          <w14:textFill>
            <w14:solidFill>
              <w14:schemeClr w14:val="tx1"/>
            </w14:solidFill>
          </w14:textFill>
        </w:rPr>
        <w:t>心理健康教育</w:t>
      </w:r>
    </w:p>
    <w:p>
      <w:pPr>
        <w:spacing w:line="300" w:lineRule="auto"/>
        <w:ind w:firstLine="480" w:firstLineChars="200"/>
        <w:rPr>
          <w:rFonts w:ascii="Times New Roman" w:hAnsi="Times New Roman"/>
          <w:color w:val="000000" w:themeColor="text1"/>
          <w:sz w:val="24"/>
          <w:szCs w:val="28"/>
          <w14:textFill>
            <w14:solidFill>
              <w14:schemeClr w14:val="tx1"/>
            </w14:solidFill>
          </w14:textFill>
        </w:rPr>
      </w:pPr>
      <w:r>
        <w:rPr>
          <w:rFonts w:hint="eastAsia" w:ascii="Times New Roman" w:hAnsi="Times New Roman"/>
          <w:color w:val="000000" w:themeColor="text1"/>
          <w:sz w:val="24"/>
          <w:szCs w:val="28"/>
          <w:highlight w:val="none"/>
          <w14:textFill>
            <w14:solidFill>
              <w14:schemeClr w14:val="tx1"/>
            </w14:solidFill>
          </w14:textFill>
        </w:rPr>
        <w:t>在全</w:t>
      </w:r>
      <w:r>
        <w:rPr>
          <w:rFonts w:hint="eastAsia" w:ascii="Times New Roman" w:hAnsi="Times New Roman"/>
          <w:color w:val="000000" w:themeColor="text1"/>
          <w:sz w:val="24"/>
          <w:szCs w:val="28"/>
          <w:highlight w:val="none"/>
          <w:lang w:val="en-US" w:eastAsia="zh-CN"/>
          <w14:textFill>
            <w14:solidFill>
              <w14:schemeClr w14:val="tx1"/>
            </w14:solidFill>
          </w14:textFill>
        </w:rPr>
        <w:t>校</w:t>
      </w:r>
      <w:r>
        <w:rPr>
          <w:rFonts w:hint="eastAsia" w:ascii="Times New Roman" w:hAnsi="Times New Roman"/>
          <w:color w:val="000000" w:themeColor="text1"/>
          <w:sz w:val="24"/>
          <w:szCs w:val="28"/>
          <w:highlight w:val="none"/>
          <w14:textFill>
            <w14:solidFill>
              <w14:schemeClr w14:val="tx1"/>
            </w14:solidFill>
          </w14:textFill>
        </w:rPr>
        <w:t>学生中开展重点人群排查和干预工作，采取积极措施，</w:t>
      </w:r>
      <w:r>
        <w:rPr>
          <w:rFonts w:hint="eastAsia" w:ascii="Times New Roman" w:hAnsi="Times New Roman"/>
          <w:color w:val="000000" w:themeColor="text1"/>
          <w:sz w:val="24"/>
          <w:szCs w:val="28"/>
          <w:highlight w:val="none"/>
          <w:lang w:eastAsia="zh-CN"/>
          <w14:textFill>
            <w14:solidFill>
              <w14:schemeClr w14:val="tx1"/>
            </w14:solidFill>
          </w14:textFill>
        </w:rPr>
        <w:t>2</w:t>
      </w:r>
      <w:r>
        <w:rPr>
          <w:rFonts w:hint="eastAsia" w:ascii="Times New Roman" w:hAnsi="Times New Roman"/>
          <w:color w:val="000000" w:themeColor="text1"/>
          <w:sz w:val="24"/>
          <w:szCs w:val="28"/>
          <w:highlight w:val="none"/>
          <w:lang w:val="en-US" w:eastAsia="zh-CN"/>
          <w14:textFill>
            <w14:solidFill>
              <w14:schemeClr w14:val="tx1"/>
            </w14:solidFill>
          </w14:textFill>
        </w:rPr>
        <w:t>020-2021学年</w:t>
      </w:r>
      <w:r>
        <w:rPr>
          <w:rFonts w:hint="eastAsia" w:ascii="Times New Roman" w:hAnsi="Times New Roman"/>
          <w:color w:val="000000" w:themeColor="text1"/>
          <w:sz w:val="24"/>
          <w:szCs w:val="28"/>
          <w:highlight w:val="none"/>
          <w14:textFill>
            <w14:solidFill>
              <w14:schemeClr w14:val="tx1"/>
            </w14:solidFill>
          </w14:textFill>
        </w:rPr>
        <w:t>，学生情绪稳定，情况正常。依托学</w:t>
      </w:r>
      <w:r>
        <w:rPr>
          <w:rFonts w:hint="eastAsia" w:ascii="Times New Roman" w:hAnsi="Times New Roman"/>
          <w:color w:val="000000" w:themeColor="text1"/>
          <w:sz w:val="24"/>
          <w:szCs w:val="28"/>
          <w:highlight w:val="none"/>
          <w:lang w:val="en-US" w:eastAsia="zh-CN"/>
          <w14:textFill>
            <w14:solidFill>
              <w14:schemeClr w14:val="tx1"/>
            </w14:solidFill>
          </w14:textFill>
        </w:rPr>
        <w:t>校</w:t>
      </w:r>
      <w:r>
        <w:rPr>
          <w:rFonts w:hint="eastAsia" w:ascii="Times New Roman" w:hAnsi="Times New Roman"/>
          <w:color w:val="000000" w:themeColor="text1"/>
          <w:sz w:val="24"/>
          <w:szCs w:val="28"/>
          <w:highlight w:val="none"/>
          <w14:textFill>
            <w14:solidFill>
              <w14:schemeClr w14:val="tx1"/>
            </w14:solidFill>
          </w14:textFill>
        </w:rPr>
        <w:t>心理健康教育实验研究中心师资力量，通过日常授课及讲座加强心理健康教育学生干部</w:t>
      </w:r>
      <w:r>
        <w:rPr>
          <w:rFonts w:hint="eastAsia" w:ascii="Times New Roman" w:hAnsi="Times New Roman"/>
          <w:color w:val="000000" w:themeColor="text1"/>
          <w:sz w:val="24"/>
          <w:szCs w:val="28"/>
          <w14:textFill>
            <w14:solidFill>
              <w14:schemeClr w14:val="tx1"/>
            </w14:solidFill>
          </w14:textFill>
        </w:rPr>
        <w:t>队伍建设。通过培训，参训学生不仅学到了心理健康的知识，而且能把知识运用到实际工作中，开展好本班级、本系部的心理健康教育工作，及时对同学进行帮助。积极开展点面结合、形式多样、内容丰富的心理健康教育实践活动。我院网站、广播、宣传栏、讲座、“心灵领航员”等载体，大力开展新生心理调适知识宣传。</w:t>
      </w:r>
    </w:p>
    <w:p>
      <w:pPr>
        <w:pStyle w:val="34"/>
        <w:ind w:firstLine="562"/>
        <w:rPr>
          <w:rFonts w:ascii="Times New Roman" w:hAnsi="Times New Roman" w:cs="Times New Roman"/>
          <w:b/>
        </w:rPr>
      </w:pPr>
      <w:r>
        <w:rPr>
          <w:rFonts w:hint="eastAsia" w:ascii="Times New Roman" w:hAnsi="Times New Roman" w:cs="Times New Roman"/>
          <w:b/>
          <w:color w:val="000000"/>
          <w:lang w:val="en-US" w:eastAsia="zh-CN"/>
        </w:rPr>
        <w:t>4</w:t>
      </w:r>
      <w:r>
        <w:rPr>
          <w:rFonts w:ascii="Times New Roman" w:hAnsi="Times New Roman" w:cs="Times New Roman"/>
          <w:b/>
        </w:rPr>
        <w:t>.校园文化活动情况</w:t>
      </w:r>
    </w:p>
    <w:p>
      <w:pPr>
        <w:spacing w:line="300" w:lineRule="auto"/>
        <w:ind w:firstLine="480" w:firstLineChars="200"/>
        <w:rPr>
          <w:rFonts w:ascii="Times New Roman" w:hAnsi="Times New Roman"/>
          <w:sz w:val="24"/>
          <w:szCs w:val="28"/>
        </w:rPr>
      </w:pPr>
      <w:r>
        <w:rPr>
          <w:rFonts w:hint="eastAsia" w:ascii="Times New Roman" w:hAnsi="Times New Roman"/>
          <w:sz w:val="24"/>
          <w:szCs w:val="28"/>
        </w:rPr>
        <w:t>党建引领团建，筑牢校园文化建设根基，重视“文化育人”功能，着力挖掘海西丰富的文化底蕴，着力打造富有海西特点的校园文化。以“倡导特色，丰富载体，活动引领”为切入点，促进校园文化建设。举办“永远跟党走，匠心育桃李”庆祝中国共产党成立100周年文艺晚会</w:t>
      </w:r>
      <w:r>
        <w:rPr>
          <w:rFonts w:hint="eastAsia" w:ascii="Times New Roman" w:hAnsi="Times New Roman"/>
          <w:sz w:val="24"/>
          <w:szCs w:val="28"/>
          <w:lang w:eastAsia="zh-CN"/>
        </w:rPr>
        <w:t>，</w:t>
      </w:r>
      <w:r>
        <w:rPr>
          <w:rFonts w:hint="eastAsia" w:ascii="Times New Roman" w:hAnsi="Times New Roman"/>
          <w:sz w:val="24"/>
          <w:szCs w:val="28"/>
        </w:rPr>
        <w:t>铭记光辉历史，传承红色基因。</w:t>
      </w:r>
      <w:r>
        <w:rPr>
          <w:rFonts w:hint="eastAsia" w:ascii="Times New Roman" w:hAnsi="Times New Roman"/>
          <w:sz w:val="24"/>
          <w:szCs w:val="28"/>
          <w:lang w:val="en-US" w:eastAsia="zh-CN"/>
        </w:rPr>
        <w:t>2020-2021</w:t>
      </w:r>
      <w:r>
        <w:rPr>
          <w:rFonts w:hint="eastAsia" w:ascii="Times New Roman" w:hAnsi="Times New Roman"/>
          <w:sz w:val="24"/>
          <w:szCs w:val="28"/>
        </w:rPr>
        <w:t>学年，开展校园文化活动统计见表3-</w:t>
      </w:r>
      <w:r>
        <w:rPr>
          <w:rFonts w:ascii="Times New Roman" w:hAnsi="Times New Roman"/>
          <w:sz w:val="24"/>
          <w:szCs w:val="28"/>
        </w:rPr>
        <w:t>8</w:t>
      </w:r>
      <w:r>
        <w:rPr>
          <w:rFonts w:hint="eastAsia" w:ascii="Times New Roman" w:hAnsi="Times New Roman"/>
          <w:sz w:val="24"/>
          <w:szCs w:val="28"/>
        </w:rPr>
        <w:t>。</w:t>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highlight w:val="none"/>
          <w14:textFill>
            <w14:solidFill>
              <w14:schemeClr w14:val="tx1"/>
            </w14:solidFill>
          </w14:textFill>
        </w:rPr>
      </w:pPr>
      <w:r>
        <w:rPr>
          <w:rFonts w:ascii="Times New Roman" w:hAnsi="Times New Roman" w:cs="Times New Roman"/>
          <w:b/>
          <w:color w:val="000000" w:themeColor="text1"/>
          <w:kern w:val="2"/>
          <w:sz w:val="21"/>
          <w:szCs w:val="21"/>
          <w:highlight w:val="none"/>
          <w14:textFill>
            <w14:solidFill>
              <w14:schemeClr w14:val="tx1"/>
            </w14:solidFill>
          </w14:textFill>
        </w:rPr>
        <w:t xml:space="preserve">表3-8 </w:t>
      </w:r>
      <w:r>
        <w:rPr>
          <w:rFonts w:hint="eastAsia" w:ascii="Times New Roman" w:hAnsi="Times New Roman" w:cs="Times New Roman"/>
          <w:b/>
          <w:color w:val="000000" w:themeColor="text1"/>
          <w:kern w:val="2"/>
          <w:sz w:val="21"/>
          <w:szCs w:val="21"/>
          <w:highlight w:val="none"/>
          <w:lang w:val="en-US" w:eastAsia="zh-CN"/>
          <w14:textFill>
            <w14:solidFill>
              <w14:schemeClr w14:val="tx1"/>
            </w14:solidFill>
          </w14:textFill>
        </w:rPr>
        <w:t xml:space="preserve"> </w:t>
      </w:r>
      <w:r>
        <w:rPr>
          <w:rFonts w:hint="eastAsia" w:ascii="Times New Roman" w:hAnsi="Times New Roman" w:cs="Times New Roman"/>
          <w:b/>
          <w:color w:val="000000" w:themeColor="text1"/>
          <w:kern w:val="2"/>
          <w:sz w:val="21"/>
          <w:szCs w:val="21"/>
          <w:highlight w:val="none"/>
          <w:lang w:eastAsia="zh-CN"/>
          <w14:textFill>
            <w14:solidFill>
              <w14:schemeClr w14:val="tx1"/>
            </w14:solidFill>
          </w14:textFill>
        </w:rPr>
        <w:t>2</w:t>
      </w:r>
      <w:r>
        <w:rPr>
          <w:rFonts w:hint="eastAsia" w:ascii="Times New Roman" w:hAnsi="Times New Roman" w:cs="Times New Roman"/>
          <w:b/>
          <w:color w:val="000000" w:themeColor="text1"/>
          <w:kern w:val="2"/>
          <w:sz w:val="21"/>
          <w:szCs w:val="21"/>
          <w:highlight w:val="none"/>
          <w:lang w:val="en-US" w:eastAsia="zh-CN"/>
          <w14:textFill>
            <w14:solidFill>
              <w14:schemeClr w14:val="tx1"/>
            </w14:solidFill>
          </w14:textFill>
        </w:rPr>
        <w:t>020-2021</w:t>
      </w:r>
      <w:r>
        <w:rPr>
          <w:rFonts w:ascii="Times New Roman" w:hAnsi="Times New Roman" w:cs="Times New Roman"/>
          <w:b/>
          <w:color w:val="000000" w:themeColor="text1"/>
          <w:kern w:val="2"/>
          <w:sz w:val="21"/>
          <w:szCs w:val="21"/>
          <w:highlight w:val="none"/>
          <w14:textFill>
            <w14:solidFill>
              <w14:schemeClr w14:val="tx1"/>
            </w14:solidFill>
          </w14:textFill>
        </w:rPr>
        <w:t>学年校园文化活动</w:t>
      </w:r>
      <w:r>
        <w:rPr>
          <w:rFonts w:hint="eastAsia" w:ascii="Times New Roman" w:hAnsi="Times New Roman" w:cs="Times New Roman"/>
          <w:b/>
          <w:color w:val="000000" w:themeColor="text1"/>
          <w:kern w:val="2"/>
          <w:sz w:val="21"/>
          <w:szCs w:val="21"/>
          <w:highlight w:val="none"/>
          <w14:textFill>
            <w14:solidFill>
              <w14:schemeClr w14:val="tx1"/>
            </w14:solidFill>
          </w14:textFill>
        </w:rPr>
        <w:t>统计</w:t>
      </w:r>
    </w:p>
    <w:tbl>
      <w:tblPr>
        <w:tblStyle w:val="17"/>
        <w:tblW w:w="8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
        <w:gridCol w:w="73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920" w:type="dxa"/>
            <w:shd w:val="clear" w:color="auto" w:fill="C6D9F0" w:themeFill="text2" w:themeFillTint="33"/>
            <w:vAlign w:val="center"/>
          </w:tcPr>
          <w:p>
            <w:pPr>
              <w:pStyle w:val="28"/>
              <w:spacing w:line="340" w:lineRule="atLeast"/>
              <w:ind w:firstLine="0"/>
              <w:jc w:val="center"/>
              <w:rPr>
                <w:rFonts w:ascii="Times New Roman" w:hAnsi="Times New Roman" w:cs="Times New Roman"/>
                <w:b/>
                <w:sz w:val="21"/>
                <w:szCs w:val="21"/>
              </w:rPr>
            </w:pPr>
            <w:r>
              <w:rPr>
                <w:rFonts w:ascii="Times New Roman" w:hAnsi="Times New Roman" w:cs="Times New Roman"/>
                <w:b/>
                <w:sz w:val="21"/>
                <w:szCs w:val="21"/>
              </w:rPr>
              <w:t>序号</w:t>
            </w:r>
          </w:p>
        </w:tc>
        <w:tc>
          <w:tcPr>
            <w:tcW w:w="7358" w:type="dxa"/>
            <w:shd w:val="clear" w:color="auto" w:fill="C6D9F0" w:themeFill="text2" w:themeFillTint="33"/>
            <w:vAlign w:val="center"/>
          </w:tcPr>
          <w:p>
            <w:pPr>
              <w:pStyle w:val="28"/>
              <w:spacing w:line="340" w:lineRule="atLeast"/>
              <w:ind w:firstLine="0"/>
              <w:jc w:val="center"/>
              <w:rPr>
                <w:rFonts w:ascii="Times New Roman" w:hAnsi="Times New Roman" w:cs="Times New Roman"/>
                <w:b/>
                <w:sz w:val="21"/>
                <w:szCs w:val="21"/>
              </w:rPr>
            </w:pPr>
            <w:r>
              <w:rPr>
                <w:rFonts w:ascii="Times New Roman" w:hAnsi="Times New Roman" w:cs="Times New Roman"/>
                <w:b/>
                <w:sz w:val="21"/>
                <w:szCs w:val="21"/>
              </w:rPr>
              <w:t>主题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0" w:type="dxa"/>
            <w:vAlign w:val="center"/>
          </w:tcPr>
          <w:p>
            <w:pPr>
              <w:pStyle w:val="28"/>
              <w:spacing w:line="340" w:lineRule="atLeast"/>
              <w:ind w:firstLine="0"/>
              <w:jc w:val="center"/>
              <w:rPr>
                <w:rFonts w:ascii="Times New Roman" w:hAnsi="Times New Roman" w:cs="Times New Roman"/>
                <w:sz w:val="21"/>
                <w:szCs w:val="21"/>
              </w:rPr>
            </w:pPr>
            <w:r>
              <w:rPr>
                <w:rFonts w:ascii="Times New Roman" w:hAnsi="Times New Roman" w:cs="Times New Roman"/>
                <w:sz w:val="21"/>
                <w:szCs w:val="21"/>
              </w:rPr>
              <w:t>1</w:t>
            </w:r>
          </w:p>
        </w:tc>
        <w:tc>
          <w:tcPr>
            <w:tcW w:w="7358" w:type="dxa"/>
            <w:vAlign w:val="center"/>
          </w:tcPr>
          <w:p>
            <w:pPr>
              <w:pStyle w:val="28"/>
              <w:spacing w:line="340" w:lineRule="atLeast"/>
              <w:ind w:firstLine="0"/>
              <w:jc w:val="left"/>
              <w:rPr>
                <w:rFonts w:ascii="Times New Roman" w:hAnsi="Times New Roman" w:cs="Times New Roman"/>
                <w:sz w:val="21"/>
                <w:szCs w:val="21"/>
              </w:rPr>
            </w:pPr>
            <w:r>
              <w:rPr>
                <w:rFonts w:hint="eastAsia" w:ascii="Times New Roman" w:hAnsi="Times New Roman" w:cs="Times New Roman"/>
                <w:sz w:val="21"/>
                <w:szCs w:val="21"/>
              </w:rPr>
              <w:t>“勿忘国耻，振兴中华”为主题的团日活动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0" w:type="dxa"/>
            <w:vAlign w:val="center"/>
          </w:tcPr>
          <w:p>
            <w:pPr>
              <w:spacing w:line="340" w:lineRule="atLeast"/>
              <w:jc w:val="center"/>
              <w:rPr>
                <w:rFonts w:ascii="Times New Roman" w:hAnsi="Times New Roman"/>
                <w:szCs w:val="21"/>
              </w:rPr>
            </w:pPr>
            <w:r>
              <w:rPr>
                <w:rFonts w:ascii="Times New Roman" w:hAnsi="Times New Roman"/>
                <w:szCs w:val="21"/>
              </w:rPr>
              <w:t>2</w:t>
            </w:r>
          </w:p>
        </w:tc>
        <w:tc>
          <w:tcPr>
            <w:tcW w:w="7358" w:type="dxa"/>
            <w:vAlign w:val="center"/>
          </w:tcPr>
          <w:p>
            <w:pPr>
              <w:pStyle w:val="28"/>
              <w:spacing w:line="340" w:lineRule="atLeast"/>
              <w:ind w:firstLine="0"/>
              <w:jc w:val="left"/>
              <w:rPr>
                <w:rFonts w:ascii="Times New Roman" w:hAnsi="Times New Roman" w:cs="Times New Roman"/>
                <w:sz w:val="21"/>
                <w:szCs w:val="21"/>
              </w:rPr>
            </w:pPr>
            <w:r>
              <w:rPr>
                <w:rFonts w:hint="eastAsia" w:ascii="Times New Roman" w:hAnsi="Times New Roman" w:cs="Times New Roman"/>
                <w:sz w:val="21"/>
                <w:szCs w:val="21"/>
              </w:rPr>
              <w:t>“青年大学习砥砺新时代”知识竞赛活动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0" w:type="dxa"/>
            <w:vAlign w:val="center"/>
          </w:tcPr>
          <w:p>
            <w:pPr>
              <w:pStyle w:val="28"/>
              <w:spacing w:line="340" w:lineRule="atLeast"/>
              <w:ind w:firstLine="0"/>
              <w:jc w:val="center"/>
              <w:rPr>
                <w:rFonts w:ascii="Times New Roman" w:hAnsi="Times New Roman" w:cs="Times New Roman"/>
                <w:sz w:val="21"/>
                <w:szCs w:val="21"/>
              </w:rPr>
            </w:pPr>
            <w:r>
              <w:rPr>
                <w:rFonts w:ascii="Times New Roman" w:hAnsi="Times New Roman" w:cs="Times New Roman"/>
                <w:sz w:val="21"/>
                <w:szCs w:val="21"/>
              </w:rPr>
              <w:t>3</w:t>
            </w:r>
          </w:p>
        </w:tc>
        <w:tc>
          <w:tcPr>
            <w:tcW w:w="7358" w:type="dxa"/>
            <w:vAlign w:val="center"/>
          </w:tcPr>
          <w:p>
            <w:pPr>
              <w:pStyle w:val="28"/>
              <w:spacing w:line="340" w:lineRule="atLeast"/>
              <w:ind w:firstLine="0"/>
              <w:rPr>
                <w:rFonts w:ascii="Times New Roman" w:hAnsi="Times New Roman" w:cs="Times New Roman"/>
                <w:sz w:val="21"/>
                <w:szCs w:val="21"/>
              </w:rPr>
            </w:pPr>
            <w:r>
              <w:rPr>
                <w:rFonts w:hint="eastAsia" w:ascii="Times New Roman" w:hAnsi="Times New Roman" w:cs="Times New Roman"/>
                <w:sz w:val="21"/>
                <w:szCs w:val="21"/>
              </w:rPr>
              <w:t>“民族团结暨迎新杯”篮球联赛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0" w:type="dxa"/>
            <w:vAlign w:val="center"/>
          </w:tcPr>
          <w:p>
            <w:pPr>
              <w:pStyle w:val="28"/>
              <w:spacing w:line="340" w:lineRule="atLeast"/>
              <w:ind w:firstLine="0"/>
              <w:jc w:val="center"/>
              <w:rPr>
                <w:rFonts w:ascii="Times New Roman" w:hAnsi="Times New Roman" w:cs="Times New Roman"/>
                <w:sz w:val="21"/>
                <w:szCs w:val="21"/>
              </w:rPr>
            </w:pPr>
            <w:r>
              <w:rPr>
                <w:rFonts w:hint="eastAsia" w:ascii="Times New Roman" w:hAnsi="Times New Roman" w:cs="Times New Roman"/>
                <w:sz w:val="21"/>
                <w:szCs w:val="21"/>
              </w:rPr>
              <w:t>4</w:t>
            </w:r>
          </w:p>
        </w:tc>
        <w:tc>
          <w:tcPr>
            <w:tcW w:w="7358" w:type="dxa"/>
            <w:vAlign w:val="center"/>
          </w:tcPr>
          <w:p>
            <w:pPr>
              <w:pStyle w:val="28"/>
              <w:spacing w:line="340" w:lineRule="atLeast"/>
              <w:ind w:firstLine="0"/>
              <w:rPr>
                <w:rFonts w:ascii="Times New Roman" w:hAnsi="Times New Roman" w:cs="Times New Roman"/>
                <w:sz w:val="21"/>
                <w:szCs w:val="21"/>
              </w:rPr>
            </w:pPr>
            <w:r>
              <w:rPr>
                <w:rFonts w:hint="eastAsia" w:ascii="Times New Roman" w:hAnsi="Times New Roman" w:cs="Times New Roman"/>
                <w:sz w:val="21"/>
                <w:szCs w:val="21"/>
              </w:rPr>
              <w:t>“传承雷锋精神·喜迎建党100周年”志愿服务活动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0" w:type="dxa"/>
            <w:vAlign w:val="center"/>
          </w:tcPr>
          <w:p>
            <w:pPr>
              <w:pStyle w:val="28"/>
              <w:spacing w:line="340" w:lineRule="atLeast"/>
              <w:ind w:firstLine="0"/>
              <w:jc w:val="center"/>
              <w:rPr>
                <w:rFonts w:ascii="Times New Roman" w:hAnsi="Times New Roman" w:cs="Times New Roman"/>
                <w:sz w:val="21"/>
                <w:szCs w:val="21"/>
              </w:rPr>
            </w:pPr>
            <w:r>
              <w:rPr>
                <w:rFonts w:hint="eastAsia" w:ascii="Times New Roman" w:hAnsi="Times New Roman" w:cs="Times New Roman"/>
                <w:sz w:val="21"/>
                <w:szCs w:val="21"/>
              </w:rPr>
              <w:t>5</w:t>
            </w:r>
          </w:p>
        </w:tc>
        <w:tc>
          <w:tcPr>
            <w:tcW w:w="7358" w:type="dxa"/>
            <w:vAlign w:val="center"/>
          </w:tcPr>
          <w:p>
            <w:pPr>
              <w:pStyle w:val="28"/>
              <w:spacing w:line="340" w:lineRule="atLeast"/>
              <w:ind w:firstLine="0"/>
              <w:rPr>
                <w:rFonts w:ascii="Times New Roman" w:hAnsi="Times New Roman" w:cs="Times New Roman"/>
                <w:sz w:val="21"/>
                <w:szCs w:val="21"/>
              </w:rPr>
            </w:pPr>
            <w:r>
              <w:rPr>
                <w:rFonts w:hint="eastAsia" w:ascii="Times New Roman" w:hAnsi="Times New Roman" w:eastAsia="宋体" w:cs="Times New Roman"/>
                <w:sz w:val="21"/>
                <w:szCs w:val="21"/>
                <w:lang w:val="en-US" w:eastAsia="zh-CN"/>
              </w:rPr>
              <w:t>“青春心向党，时代新人说”学生演讲比赛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0" w:type="dxa"/>
            <w:vAlign w:val="center"/>
          </w:tcPr>
          <w:p>
            <w:pPr>
              <w:pStyle w:val="28"/>
              <w:spacing w:line="340" w:lineRule="atLeast"/>
              <w:ind w:firstLine="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6</w:t>
            </w:r>
          </w:p>
        </w:tc>
        <w:tc>
          <w:tcPr>
            <w:tcW w:w="7358" w:type="dxa"/>
            <w:vAlign w:val="center"/>
          </w:tcPr>
          <w:p>
            <w:pPr>
              <w:pStyle w:val="28"/>
              <w:spacing w:line="340" w:lineRule="atLeast"/>
              <w:ind w:firstLine="0"/>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“师生义务植树，共建美丽柴院”植树活动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0" w:type="dxa"/>
            <w:vAlign w:val="center"/>
          </w:tcPr>
          <w:p>
            <w:pPr>
              <w:pStyle w:val="28"/>
              <w:spacing w:line="340" w:lineRule="atLeast"/>
              <w:ind w:firstLine="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7</w:t>
            </w:r>
          </w:p>
        </w:tc>
        <w:tc>
          <w:tcPr>
            <w:tcW w:w="7358" w:type="dxa"/>
            <w:vAlign w:val="center"/>
          </w:tcPr>
          <w:p>
            <w:pPr>
              <w:pStyle w:val="28"/>
              <w:spacing w:line="340" w:lineRule="atLeast"/>
              <w:ind w:firstLine="0"/>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“永远跟党走，匠心育桃李”庆祝中国共产党成立100周年文艺晚会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920" w:type="dxa"/>
            <w:vAlign w:val="center"/>
          </w:tcPr>
          <w:p>
            <w:pPr>
              <w:pStyle w:val="28"/>
              <w:spacing w:line="340" w:lineRule="atLeast"/>
              <w:ind w:firstLine="0"/>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8</w:t>
            </w:r>
          </w:p>
        </w:tc>
        <w:tc>
          <w:tcPr>
            <w:tcW w:w="7358" w:type="dxa"/>
            <w:vAlign w:val="center"/>
          </w:tcPr>
          <w:p>
            <w:pPr>
              <w:pStyle w:val="28"/>
              <w:spacing w:line="340" w:lineRule="atLeast"/>
              <w:ind w:firstLine="0"/>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“红色故事我来讲”主题系列活动</w:t>
            </w:r>
          </w:p>
        </w:tc>
      </w:tr>
    </w:tbl>
    <w:p>
      <w:pPr>
        <w:rPr>
          <w:rFonts w:ascii="Times New Roman" w:hAnsi="Times New Roman"/>
          <w:szCs w:val="21"/>
        </w:rPr>
      </w:pPr>
    </w:p>
    <w:p>
      <w:pPr>
        <w:jc w:val="distribute"/>
        <w:rPr>
          <w:rFonts w:ascii="Times New Roman" w:hAnsi="Times New Roman"/>
        </w:rPr>
      </w:pPr>
      <w:r>
        <w:rPr>
          <w:rFonts w:ascii="Times New Roman" w:hAnsi="Times New Roman"/>
        </w:rPr>
        <w:drawing>
          <wp:inline distT="0" distB="0" distL="114300" distR="114300">
            <wp:extent cx="2494280" cy="1969770"/>
            <wp:effectExtent l="0" t="0" r="1270" b="11430"/>
            <wp:docPr id="41" name="图片 41" descr="ac836cfa3f810145be759da10bf208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ac836cfa3f810145be759da10bf208d"/>
                    <pic:cNvPicPr>
                      <a:picLocks noChangeAspect="1"/>
                    </pic:cNvPicPr>
                  </pic:nvPicPr>
                  <pic:blipFill>
                    <a:blip r:embed="rId37"/>
                    <a:stretch>
                      <a:fillRect/>
                    </a:stretch>
                  </pic:blipFill>
                  <pic:spPr>
                    <a:xfrm>
                      <a:off x="0" y="0"/>
                      <a:ext cx="2494280" cy="1969770"/>
                    </a:xfrm>
                    <a:prstGeom prst="rect">
                      <a:avLst/>
                    </a:prstGeom>
                  </pic:spPr>
                </pic:pic>
              </a:graphicData>
            </a:graphic>
          </wp:inline>
        </w:drawing>
      </w:r>
      <w:r>
        <w:rPr>
          <w:rFonts w:hint="eastAsia" w:ascii="Times New Roman" w:hAnsi="Times New Roman"/>
          <w:szCs w:val="21"/>
        </w:rPr>
        <w:t xml:space="preserve"> </w:t>
      </w:r>
      <w:r>
        <w:rPr>
          <w:rFonts w:ascii="Times New Roman" w:hAnsi="Times New Roman"/>
        </w:rPr>
        <w:drawing>
          <wp:inline distT="0" distB="0" distL="114300" distR="114300">
            <wp:extent cx="2629535" cy="1972310"/>
            <wp:effectExtent l="0" t="0" r="18415" b="8890"/>
            <wp:docPr id="43" name="图片 43" descr="41183507d165f35ce3559b1fbfe4e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41183507d165f35ce3559b1fbfe4eb1"/>
                    <pic:cNvPicPr>
                      <a:picLocks noChangeAspect="1"/>
                    </pic:cNvPicPr>
                  </pic:nvPicPr>
                  <pic:blipFill>
                    <a:blip r:embed="rId38"/>
                    <a:stretch>
                      <a:fillRect/>
                    </a:stretch>
                  </pic:blipFill>
                  <pic:spPr>
                    <a:xfrm>
                      <a:off x="0" y="0"/>
                      <a:ext cx="2629535" cy="1972310"/>
                    </a:xfrm>
                    <a:prstGeom prst="rect">
                      <a:avLst/>
                    </a:prstGeom>
                  </pic:spPr>
                </pic:pic>
              </a:graphicData>
            </a:graphic>
          </wp:inline>
        </w:drawing>
      </w:r>
    </w:p>
    <w:p>
      <w:pPr>
        <w:jc w:val="distribute"/>
        <w:rPr>
          <w:rFonts w:ascii="Times New Roman" w:hAnsi="Times New Roman"/>
          <w:szCs w:val="21"/>
        </w:rPr>
      </w:pPr>
      <w:r>
        <w:rPr>
          <w:rFonts w:ascii="Times New Roman" w:hAnsi="Times New Roman"/>
        </w:rPr>
        <w:drawing>
          <wp:inline distT="0" distB="0" distL="114300" distR="114300">
            <wp:extent cx="2534285" cy="1901190"/>
            <wp:effectExtent l="0" t="0" r="18415" b="3810"/>
            <wp:docPr id="34" name="图片 34" descr="7064D3B6E9F2351793E97EBD74896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7064D3B6E9F2351793E97EBD74896576"/>
                    <pic:cNvPicPr>
                      <a:picLocks noChangeAspect="1"/>
                    </pic:cNvPicPr>
                  </pic:nvPicPr>
                  <pic:blipFill>
                    <a:blip r:embed="rId39"/>
                    <a:stretch>
                      <a:fillRect/>
                    </a:stretch>
                  </pic:blipFill>
                  <pic:spPr>
                    <a:xfrm>
                      <a:off x="0" y="0"/>
                      <a:ext cx="2534285" cy="1901190"/>
                    </a:xfrm>
                    <a:prstGeom prst="rect">
                      <a:avLst/>
                    </a:prstGeom>
                  </pic:spPr>
                </pic:pic>
              </a:graphicData>
            </a:graphic>
          </wp:inline>
        </w:drawing>
      </w:r>
      <w:r>
        <w:rPr>
          <w:rFonts w:hint="eastAsia" w:ascii="Times New Roman" w:hAnsi="Times New Roman"/>
          <w:b/>
          <w:color w:val="000000"/>
        </w:rPr>
        <w:t xml:space="preserve"> </w:t>
      </w:r>
      <w:r>
        <w:rPr>
          <w:rFonts w:ascii="Times New Roman" w:hAnsi="Times New Roman"/>
        </w:rPr>
        <w:drawing>
          <wp:inline distT="0" distB="0" distL="114300" distR="114300">
            <wp:extent cx="2583815" cy="1887855"/>
            <wp:effectExtent l="0" t="0" r="6985" b="17145"/>
            <wp:docPr id="32" name="图片 32" descr="f8fbd83c3f71086160b72e85685e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f8fbd83c3f71086160b72e85685e340"/>
                    <pic:cNvPicPr>
                      <a:picLocks noChangeAspect="1"/>
                    </pic:cNvPicPr>
                  </pic:nvPicPr>
                  <pic:blipFill>
                    <a:blip r:embed="rId40"/>
                    <a:stretch>
                      <a:fillRect/>
                    </a:stretch>
                  </pic:blipFill>
                  <pic:spPr>
                    <a:xfrm>
                      <a:off x="0" y="0"/>
                      <a:ext cx="2583815" cy="1887855"/>
                    </a:xfrm>
                    <a:prstGeom prst="rect">
                      <a:avLst/>
                    </a:prstGeom>
                  </pic:spPr>
                </pic:pic>
              </a:graphicData>
            </a:graphic>
          </wp:inline>
        </w:drawing>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图3-</w:t>
      </w:r>
      <w:r>
        <w:rPr>
          <w:rFonts w:hint="eastAsia" w:ascii="Times New Roman" w:hAnsi="Times New Roman" w:cs="Times New Roman"/>
          <w:b/>
          <w:color w:val="000000" w:themeColor="text1"/>
          <w:kern w:val="2"/>
          <w:sz w:val="21"/>
          <w:szCs w:val="21"/>
          <w14:textFill>
            <w14:solidFill>
              <w14:schemeClr w14:val="tx1"/>
            </w14:solidFill>
          </w14:textFill>
        </w:rPr>
        <w:t>2</w:t>
      </w:r>
      <w:r>
        <w:rPr>
          <w:rFonts w:ascii="Times New Roman" w:hAnsi="Times New Roman" w:cs="Times New Roman"/>
          <w:b/>
          <w:color w:val="000000" w:themeColor="text1"/>
          <w:kern w:val="2"/>
          <w:sz w:val="21"/>
          <w:szCs w:val="21"/>
          <w14:textFill>
            <w14:solidFill>
              <w14:schemeClr w14:val="tx1"/>
            </w14:solidFill>
          </w14:textFill>
        </w:rPr>
        <w:t xml:space="preserve">  </w:t>
      </w:r>
      <w:r>
        <w:rPr>
          <w:rFonts w:hint="eastAsia" w:ascii="Times New Roman" w:hAnsi="Times New Roman" w:cs="Times New Roman"/>
          <w:b/>
          <w:color w:val="000000" w:themeColor="text1"/>
          <w:kern w:val="2"/>
          <w:sz w:val="21"/>
          <w:szCs w:val="21"/>
          <w14:textFill>
            <w14:solidFill>
              <w14:schemeClr w14:val="tx1"/>
            </w14:solidFill>
          </w14:textFill>
        </w:rPr>
        <w:t>学生</w:t>
      </w:r>
      <w:r>
        <w:rPr>
          <w:rFonts w:ascii="Times New Roman" w:hAnsi="Times New Roman" w:cs="Times New Roman"/>
          <w:b/>
          <w:color w:val="000000" w:themeColor="text1"/>
          <w:kern w:val="2"/>
          <w:sz w:val="21"/>
          <w:szCs w:val="21"/>
          <w14:textFill>
            <w14:solidFill>
              <w14:schemeClr w14:val="tx1"/>
            </w14:solidFill>
          </w14:textFill>
        </w:rPr>
        <w:t>活动</w:t>
      </w:r>
    </w:p>
    <w:p>
      <w:pPr>
        <w:pStyle w:val="5"/>
      </w:pPr>
      <w:bookmarkStart w:id="68" w:name="_Toc61256685"/>
      <w:bookmarkStart w:id="69" w:name="_Toc29901"/>
      <w:r>
        <w:t>（六）党建情况</w:t>
      </w:r>
      <w:bookmarkEnd w:id="68"/>
      <w:bookmarkEnd w:id="69"/>
    </w:p>
    <w:p>
      <w:pPr>
        <w:spacing w:line="360" w:lineRule="auto"/>
        <w:ind w:firstLine="527"/>
        <w:rPr>
          <w:rFonts w:ascii="Times New Roman" w:hAnsi="Times New Roman"/>
          <w:b/>
          <w:color w:val="000000"/>
          <w:sz w:val="28"/>
          <w:szCs w:val="30"/>
        </w:rPr>
      </w:pPr>
      <w:bookmarkStart w:id="70" w:name="_Hlk31890517"/>
      <w:r>
        <w:rPr>
          <w:rFonts w:hint="eastAsia" w:ascii="Times New Roman" w:hAnsi="Times New Roman"/>
          <w:b/>
          <w:color w:val="000000"/>
          <w:sz w:val="28"/>
          <w:szCs w:val="30"/>
        </w:rPr>
        <w:t>1.增强理论学习实效，提高理论修养水平</w:t>
      </w:r>
    </w:p>
    <w:p>
      <w:pPr>
        <w:spacing w:line="300" w:lineRule="auto"/>
        <w:ind w:firstLine="480" w:firstLineChars="200"/>
        <w:rPr>
          <w:rFonts w:ascii="Times New Roman" w:hAnsi="Times New Roman"/>
          <w:bCs/>
          <w:color w:val="000000"/>
          <w:sz w:val="24"/>
          <w:szCs w:val="30"/>
        </w:rPr>
      </w:pPr>
      <w:r>
        <w:rPr>
          <w:rFonts w:hint="eastAsia" w:ascii="Times New Roman" w:hAnsi="Times New Roman"/>
          <w:bCs/>
          <w:color w:val="000000"/>
          <w:sz w:val="24"/>
          <w:szCs w:val="30"/>
        </w:rPr>
        <w:t>学校认真贯彻落实党的教育方针，始终坚持“立德树人，创新创业”办学思路，以办好人民满意职业教育为目标，全面贯彻落实习近平新时代中国特色社会主义思想，认真学习习近平总书记关于职业教育的重要论述，深入贯彻中央和省委省政府、州委州政府一系列重要指示精神，切实做到政治保证、制度落实、素质提高、舆论引导。</w:t>
      </w:r>
    </w:p>
    <w:p>
      <w:pPr>
        <w:numPr>
          <w:ilvl w:val="-1"/>
          <w:numId w:val="0"/>
        </w:numPr>
        <w:spacing w:line="360" w:lineRule="auto"/>
        <w:ind w:firstLine="562" w:firstLineChars="200"/>
        <w:rPr>
          <w:rFonts w:ascii="Times New Roman" w:hAnsi="Times New Roman"/>
          <w:b/>
          <w:color w:val="000000"/>
          <w:sz w:val="28"/>
          <w:szCs w:val="30"/>
        </w:rPr>
      </w:pPr>
      <w:r>
        <w:rPr>
          <w:rFonts w:hint="eastAsia" w:ascii="Times New Roman" w:hAnsi="Times New Roman"/>
          <w:b/>
          <w:color w:val="000000"/>
          <w:sz w:val="28"/>
          <w:szCs w:val="30"/>
          <w:lang w:val="en-US" w:eastAsia="zh-CN"/>
        </w:rPr>
        <w:t>2.</w:t>
      </w:r>
      <w:r>
        <w:rPr>
          <w:rFonts w:hint="eastAsia" w:ascii="Times New Roman" w:hAnsi="Times New Roman"/>
          <w:b/>
          <w:color w:val="000000"/>
          <w:sz w:val="28"/>
          <w:szCs w:val="30"/>
        </w:rPr>
        <w:t>完善体制机制，增强办学育人实效性</w:t>
      </w:r>
    </w:p>
    <w:p>
      <w:pPr>
        <w:spacing w:line="300" w:lineRule="auto"/>
        <w:ind w:firstLine="480" w:firstLineChars="200"/>
        <w:rPr>
          <w:rFonts w:ascii="Times New Roman" w:hAnsi="Times New Roman"/>
          <w:bCs/>
          <w:color w:val="000000"/>
          <w:sz w:val="24"/>
          <w:szCs w:val="30"/>
        </w:rPr>
      </w:pPr>
      <w:r>
        <w:rPr>
          <w:rFonts w:hint="eastAsia" w:ascii="Times New Roman" w:hAnsi="Times New Roman"/>
          <w:bCs/>
          <w:color w:val="000000"/>
          <w:sz w:val="24"/>
          <w:szCs w:val="30"/>
        </w:rPr>
        <w:t>学校遵循“立德树人，创新创业”的办学理念，倡导“修德练技，笃学强体”的校训，弘扬“团结、勤奋、务实、创新”的校风，深化产教融合、校企合作，顺应产业发展需要，促进职业教育与产业有效对接，培养具有创新精神和实践能力、坚守职业操守和社会责任感的高素质技术技能人才。</w:t>
      </w:r>
    </w:p>
    <w:p>
      <w:pPr>
        <w:numPr>
          <w:ilvl w:val="-1"/>
          <w:numId w:val="0"/>
        </w:numPr>
        <w:spacing w:line="360" w:lineRule="auto"/>
        <w:ind w:firstLine="562" w:firstLineChars="200"/>
        <w:rPr>
          <w:rFonts w:ascii="Times New Roman" w:hAnsi="Times New Roman"/>
          <w:b/>
          <w:color w:val="000000"/>
          <w:sz w:val="28"/>
          <w:szCs w:val="30"/>
        </w:rPr>
      </w:pPr>
      <w:r>
        <w:rPr>
          <w:rFonts w:hint="eastAsia" w:ascii="Times New Roman" w:hAnsi="Times New Roman"/>
          <w:b/>
          <w:color w:val="000000"/>
          <w:sz w:val="28"/>
          <w:szCs w:val="30"/>
          <w:lang w:val="en-US" w:eastAsia="zh-CN"/>
        </w:rPr>
        <w:t>3.</w:t>
      </w:r>
      <w:r>
        <w:rPr>
          <w:rFonts w:hint="eastAsia" w:ascii="Times New Roman" w:hAnsi="Times New Roman"/>
          <w:b/>
          <w:color w:val="000000"/>
          <w:sz w:val="28"/>
          <w:szCs w:val="30"/>
        </w:rPr>
        <w:t>落实立德树人</w:t>
      </w:r>
      <w:r>
        <w:rPr>
          <w:rFonts w:hint="eastAsia" w:ascii="Times New Roman" w:hAnsi="Times New Roman"/>
          <w:b/>
          <w:color w:val="000000"/>
          <w:sz w:val="28"/>
          <w:szCs w:val="30"/>
          <w:lang w:eastAsia="zh-CN"/>
        </w:rPr>
        <w:t>，</w:t>
      </w:r>
      <w:r>
        <w:rPr>
          <w:rFonts w:hint="eastAsia" w:ascii="Times New Roman" w:hAnsi="Times New Roman"/>
          <w:b/>
          <w:color w:val="000000"/>
          <w:sz w:val="28"/>
          <w:szCs w:val="30"/>
        </w:rPr>
        <w:t>深入开展思想政治工作</w:t>
      </w:r>
    </w:p>
    <w:p>
      <w:pPr>
        <w:spacing w:line="300" w:lineRule="auto"/>
        <w:ind w:firstLine="480" w:firstLineChars="200"/>
        <w:jc w:val="left"/>
        <w:rPr>
          <w:rFonts w:ascii="Times New Roman" w:hAnsi="Times New Roman"/>
          <w:bCs/>
          <w:color w:val="000000"/>
          <w:sz w:val="24"/>
          <w:szCs w:val="30"/>
        </w:rPr>
      </w:pPr>
      <w:r>
        <w:rPr>
          <w:rFonts w:hint="eastAsia" w:ascii="Times New Roman" w:hAnsi="Times New Roman"/>
          <w:bCs/>
          <w:color w:val="000000"/>
          <w:sz w:val="24"/>
          <w:szCs w:val="30"/>
        </w:rPr>
        <w:t>加强意识形态着力点，牢牢掌握宣传思想文化阵地。持续引领全院师生深入学习贯彻习近平新时代中国特色社会主义思想，特别是关于教育的重要论述，强化“四个意识”，坚定“四个自信”，做到“两个维护”。坚决落实理论学习制度，依托学习强国、微信、网站等线上平台，用好“青海干部网络学院”“青海党建”“海西党建”等学习平台，推行“互联网+党史学习”“线下+线上”模式，引导师生党员利用“碎片时间”进行“微量学习”，加强师生员工的理论学习，增强师生党员的理论自觉。抓好“关键少数”，打造学习型班子，坚持好党委中心组学习制度。</w:t>
      </w:r>
    </w:p>
    <w:p>
      <w:pPr>
        <w:numPr>
          <w:ilvl w:val="-1"/>
          <w:numId w:val="0"/>
        </w:numPr>
        <w:spacing w:line="360" w:lineRule="auto"/>
        <w:ind w:firstLine="562" w:firstLineChars="200"/>
        <w:rPr>
          <w:rFonts w:ascii="Times New Roman" w:hAnsi="Times New Roman"/>
          <w:b/>
          <w:color w:val="000000"/>
          <w:sz w:val="28"/>
          <w:szCs w:val="30"/>
        </w:rPr>
      </w:pPr>
      <w:r>
        <w:rPr>
          <w:rFonts w:hint="eastAsia" w:ascii="Times New Roman" w:hAnsi="Times New Roman"/>
          <w:b/>
          <w:color w:val="000000"/>
          <w:sz w:val="28"/>
          <w:szCs w:val="30"/>
          <w:lang w:val="en-US" w:eastAsia="zh-CN"/>
        </w:rPr>
        <w:t>4.</w:t>
      </w:r>
      <w:r>
        <w:rPr>
          <w:rFonts w:hint="eastAsia" w:ascii="Times New Roman" w:hAnsi="Times New Roman"/>
          <w:b/>
          <w:color w:val="000000"/>
          <w:sz w:val="28"/>
          <w:szCs w:val="30"/>
        </w:rPr>
        <w:t>全面加强党风廉政建设，筑牢廉政根基。</w:t>
      </w:r>
    </w:p>
    <w:p>
      <w:pPr>
        <w:spacing w:line="300" w:lineRule="auto"/>
        <w:ind w:firstLine="480" w:firstLineChars="200"/>
        <w:rPr>
          <w:rFonts w:ascii="Times New Roman" w:hAnsi="Times New Roman"/>
          <w:bCs/>
          <w:color w:val="000000"/>
          <w:sz w:val="24"/>
          <w:szCs w:val="30"/>
        </w:rPr>
      </w:pPr>
      <w:r>
        <w:rPr>
          <w:rFonts w:hint="eastAsia" w:ascii="Times New Roman" w:hAnsi="Times New Roman"/>
          <w:bCs/>
          <w:color w:val="000000"/>
          <w:sz w:val="24"/>
          <w:szCs w:val="30"/>
        </w:rPr>
        <w:t>始终把落实党风廉政建设责任制作为“一把手”工程，班子成员认真履行“一岗双责”职责。严守“四线”，持之以恒纠正“四风”；将业务工作与党风廉政建设、反腐败工作同部署、同落实、同检查、同考核，建立正科级以上领导干部廉政档案，加强师德师风建设工作；配强纪检队伍，聚焦主责主业，加强监督力度，实现从严治党常态化。</w:t>
      </w:r>
      <w:bookmarkEnd w:id="70"/>
    </w:p>
    <w:p>
      <w:pPr>
        <w:pStyle w:val="4"/>
        <w:spacing w:before="312" w:after="156"/>
        <w:rPr>
          <w:rFonts w:ascii="Times New Roman" w:hAnsi="Times New Roman"/>
        </w:rPr>
      </w:pPr>
      <w:bookmarkStart w:id="71" w:name="_Toc61256686"/>
      <w:bookmarkStart w:id="72" w:name="_Toc7111"/>
      <w:r>
        <w:rPr>
          <w:rFonts w:ascii="Times New Roman" w:hAnsi="Times New Roman"/>
        </w:rPr>
        <w:t>四、校企合作</w:t>
      </w:r>
      <w:bookmarkEnd w:id="71"/>
      <w:bookmarkEnd w:id="72"/>
    </w:p>
    <w:p>
      <w:pPr>
        <w:pStyle w:val="5"/>
        <w:rPr>
          <w:rFonts w:ascii="Times New Roman" w:hAnsi="Times New Roman"/>
        </w:rPr>
      </w:pPr>
      <w:bookmarkStart w:id="73" w:name="_Toc61256687"/>
      <w:bookmarkStart w:id="74" w:name="_Toc13350"/>
      <w:r>
        <w:rPr>
          <w:rFonts w:ascii="Times New Roman" w:hAnsi="Times New Roman"/>
        </w:rPr>
        <w:t>（一）校企合作开展情况和效果</w:t>
      </w:r>
      <w:bookmarkEnd w:id="73"/>
      <w:bookmarkEnd w:id="74"/>
    </w:p>
    <w:p>
      <w:pPr>
        <w:spacing w:line="300" w:lineRule="auto"/>
        <w:ind w:firstLine="480" w:firstLineChars="200"/>
        <w:rPr>
          <w:rFonts w:ascii="Times New Roman" w:hAnsi="Times New Roman"/>
          <w:sz w:val="24"/>
          <w:szCs w:val="28"/>
        </w:rPr>
      </w:pPr>
      <w:r>
        <w:rPr>
          <w:rFonts w:hint="eastAsia" w:ascii="Times New Roman" w:hAnsi="Times New Roman"/>
          <w:sz w:val="24"/>
          <w:szCs w:val="28"/>
          <w:lang w:val="en-US" w:eastAsia="zh-CN"/>
        </w:rPr>
        <w:t>2020-2021学年，学校积极寻求企业合作，加大校内外实训基地建设，先后在海西华汇化工机械有限公司、青海明阳新能源有限公司、新疆中泰化学托克逊能化有限公司建立了“校外实训基地”；12月组织德令哈市9家幼儿园进行了行业合作校外实训基地挂牌及签约，学校先后与</w:t>
      </w:r>
      <w:r>
        <w:rPr>
          <w:rFonts w:hint="eastAsia" w:ascii="Times New Roman" w:hAnsi="Times New Roman"/>
          <w:sz w:val="24"/>
          <w:szCs w:val="28"/>
        </w:rPr>
        <w:t>格尔木、大柴旦工业园区签订了政校企框架合作协议2份，与43家企业签订校企合作协议，截至12月</w:t>
      </w:r>
      <w:r>
        <w:rPr>
          <w:rFonts w:hint="eastAsia" w:ascii="Times New Roman" w:hAnsi="Times New Roman"/>
          <w:sz w:val="24"/>
          <w:szCs w:val="28"/>
          <w:lang w:val="en-US" w:eastAsia="zh-CN"/>
        </w:rPr>
        <w:t>学校</w:t>
      </w:r>
      <w:r>
        <w:rPr>
          <w:rFonts w:hint="eastAsia" w:ascii="Times New Roman" w:hAnsi="Times New Roman"/>
          <w:sz w:val="24"/>
          <w:szCs w:val="28"/>
        </w:rPr>
        <w:t>与74家单位签订合作协议，从学生实习就业联动，共建人才专家指导、教师互聘、技术指导、产品开发研究、服务等方面搭建合作平台，确保校企协同合作取得实际成效。</w:t>
      </w:r>
      <w:r>
        <w:rPr>
          <w:rFonts w:hint="eastAsia" w:ascii="Times New Roman" w:hAnsi="Times New Roman"/>
          <w:sz w:val="24"/>
          <w:szCs w:val="28"/>
          <w:lang w:val="en-US" w:eastAsia="zh-CN"/>
        </w:rPr>
        <w:t>同时，企业也积极为学校提供资金支持，培训师资，实训设备，促进学校发展。</w:t>
      </w:r>
    </w:p>
    <w:p>
      <w:pPr>
        <w:pStyle w:val="5"/>
        <w:rPr>
          <w:rFonts w:ascii="Times New Roman" w:hAnsi="Times New Roman"/>
        </w:rPr>
      </w:pPr>
      <w:bookmarkStart w:id="75" w:name="_Toc20818"/>
      <w:bookmarkStart w:id="76" w:name="_Toc61256688"/>
      <w:r>
        <w:rPr>
          <w:rFonts w:ascii="Times New Roman" w:hAnsi="Times New Roman"/>
        </w:rPr>
        <w:t>（二）学生实习情况</w:t>
      </w:r>
      <w:bookmarkEnd w:id="75"/>
      <w:bookmarkEnd w:id="76"/>
    </w:p>
    <w:p>
      <w:pPr>
        <w:spacing w:line="300" w:lineRule="auto"/>
        <w:ind w:firstLine="480" w:firstLineChars="200"/>
        <w:rPr>
          <w:rFonts w:ascii="Times New Roman" w:hAnsi="Times New Roman"/>
          <w:sz w:val="24"/>
          <w:szCs w:val="28"/>
        </w:rPr>
      </w:pPr>
      <w:r>
        <w:rPr>
          <w:rFonts w:hint="eastAsia" w:ascii="Times New Roman" w:hAnsi="Times New Roman"/>
          <w:sz w:val="24"/>
          <w:szCs w:val="28"/>
        </w:rPr>
        <w:t>学校扎实推进学生实习实践工作，校企合作向更深层次发展，逐渐实现“专业与企业对口，课程与岗位对接，知识与技能同步”的局面。</w:t>
      </w:r>
      <w:r>
        <w:rPr>
          <w:rFonts w:hint="eastAsia" w:ascii="Times New Roman" w:hAnsi="Times New Roman"/>
          <w:sz w:val="24"/>
          <w:szCs w:val="28"/>
          <w:lang w:eastAsia="zh-CN"/>
        </w:rPr>
        <w:t>疫情防控期间</w:t>
      </w:r>
      <w:r>
        <w:rPr>
          <w:rFonts w:hint="eastAsia" w:ascii="Times New Roman" w:hAnsi="Times New Roman"/>
          <w:sz w:val="24"/>
          <w:szCs w:val="28"/>
        </w:rPr>
        <w:t>及时制定《疫情期间就业工作指南》，组织应往届毕业生参加“24365校园招聘”、青海省人社厅、青海人才市场网、长安人才网等线上招聘活动，通过海西在线、2020年海西州春风行动40余个平台为毕业生发布线上招聘信息</w:t>
      </w:r>
      <w:r>
        <w:rPr>
          <w:rFonts w:hint="eastAsia" w:ascii="Times New Roman" w:hAnsi="Times New Roman"/>
          <w:sz w:val="24"/>
          <w:szCs w:val="28"/>
          <w:lang w:eastAsia="zh-CN"/>
        </w:rPr>
        <w:t>，</w:t>
      </w:r>
      <w:r>
        <w:rPr>
          <w:rFonts w:hint="eastAsia" w:ascii="Times New Roman" w:hAnsi="Times New Roman"/>
          <w:sz w:val="24"/>
          <w:szCs w:val="28"/>
        </w:rPr>
        <w:t>主动与政府职能部门、相关合作单位对接，先后搜集133家用工单位信息，发布用工岗位9000余个。</w:t>
      </w:r>
    </w:p>
    <w:p>
      <w:pPr>
        <w:pStyle w:val="5"/>
        <w:rPr>
          <w:rFonts w:ascii="Times New Roman" w:hAnsi="Times New Roman"/>
          <w:color w:val="000000"/>
        </w:rPr>
      </w:pPr>
      <w:bookmarkStart w:id="77" w:name="_Toc61256689"/>
      <w:bookmarkStart w:id="78" w:name="_Toc23658"/>
      <w:r>
        <w:rPr>
          <w:rFonts w:ascii="Times New Roman" w:hAnsi="Times New Roman"/>
          <w:color w:val="000000"/>
        </w:rPr>
        <w:t>（三）集团化办学情况</w:t>
      </w:r>
      <w:bookmarkEnd w:id="77"/>
      <w:bookmarkEnd w:id="78"/>
    </w:p>
    <w:p>
      <w:pPr>
        <w:pStyle w:val="34"/>
        <w:spacing w:line="300" w:lineRule="auto"/>
        <w:ind w:firstLine="480"/>
        <w:rPr>
          <w:rFonts w:ascii="Times New Roman" w:hAnsi="Times New Roman" w:cs="Times New Roman"/>
          <w:sz w:val="24"/>
        </w:rPr>
      </w:pPr>
      <w:r>
        <w:rPr>
          <w:rFonts w:hint="eastAsia" w:ascii="Times New Roman" w:hAnsi="Times New Roman" w:cs="Times New Roman"/>
          <w:sz w:val="24"/>
        </w:rPr>
        <w:t>学校先后加入了3个职业教育集团、1个职教联盟、1个协会，分别是青海交通运输职业教育集团成员单位、全国现代服务业职业教育集团成员单位、青海信息技术职业教育联盟成员单位，青海卫生职业教育集团，中国化工教育协会会员单位。学校依托职教集团平台优势，通过集团成员间在设备、师资、技术、教学、实习、毕业生就业等方面的资源共享、优势互补，实现了合作共赢。</w:t>
      </w:r>
    </w:p>
    <w:p>
      <w:pPr>
        <w:pStyle w:val="4"/>
        <w:spacing w:before="312" w:after="156"/>
        <w:rPr>
          <w:rFonts w:ascii="Times New Roman" w:hAnsi="Times New Roman"/>
        </w:rPr>
      </w:pPr>
      <w:bookmarkStart w:id="79" w:name="_Toc4859"/>
      <w:bookmarkStart w:id="80" w:name="_Toc61256690"/>
      <w:r>
        <w:rPr>
          <w:rFonts w:ascii="Times New Roman" w:hAnsi="Times New Roman"/>
        </w:rPr>
        <w:t>五、社会贡献</w:t>
      </w:r>
      <w:bookmarkEnd w:id="79"/>
      <w:bookmarkEnd w:id="80"/>
    </w:p>
    <w:p>
      <w:pPr>
        <w:pStyle w:val="5"/>
        <w:rPr>
          <w:rFonts w:ascii="Times New Roman" w:hAnsi="Times New Roman"/>
          <w:color w:val="000000" w:themeColor="text1"/>
          <w14:textFill>
            <w14:solidFill>
              <w14:schemeClr w14:val="tx1"/>
            </w14:solidFill>
          </w14:textFill>
        </w:rPr>
      </w:pPr>
      <w:bookmarkStart w:id="81" w:name="_Toc10406"/>
      <w:bookmarkStart w:id="82" w:name="_Toc61256691"/>
      <w:r>
        <w:rPr>
          <w:rFonts w:ascii="Times New Roman" w:hAnsi="Times New Roman"/>
          <w:color w:val="000000" w:themeColor="text1"/>
          <w14:textFill>
            <w14:solidFill>
              <w14:schemeClr w14:val="tx1"/>
            </w14:solidFill>
          </w14:textFill>
        </w:rPr>
        <w:t>（一）技术技能人才培养</w:t>
      </w:r>
      <w:bookmarkEnd w:id="81"/>
      <w:bookmarkEnd w:id="82"/>
    </w:p>
    <w:p>
      <w:pPr>
        <w:pStyle w:val="34"/>
        <w:spacing w:line="300" w:lineRule="auto"/>
        <w:ind w:firstLine="48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cs="Times New Roman"/>
          <w:color w:val="000000" w:themeColor="text1"/>
          <w:sz w:val="24"/>
          <w:szCs w:val="28"/>
          <w:lang w:val="en-US" w:eastAsia="zh-CN"/>
          <w14:textFill>
            <w14:solidFill>
              <w14:schemeClr w14:val="tx1"/>
            </w14:solidFill>
          </w14:textFill>
        </w:rPr>
        <w:t>2020-2021</w:t>
      </w:r>
      <w:r>
        <w:rPr>
          <w:rFonts w:ascii="Times New Roman" w:hAnsi="Times New Roman" w:cs="Times New Roman"/>
          <w:color w:val="000000" w:themeColor="text1"/>
          <w:sz w:val="24"/>
          <w:szCs w:val="28"/>
          <w14:textFill>
            <w14:solidFill>
              <w14:schemeClr w14:val="tx1"/>
            </w14:solidFill>
          </w14:textFill>
        </w:rPr>
        <w:t>学年，学校为当地培训技术技能人才</w:t>
      </w:r>
      <w:r>
        <w:rPr>
          <w:rFonts w:hint="eastAsia" w:ascii="Times New Roman" w:hAnsi="Times New Roman" w:cs="Times New Roman"/>
          <w:color w:val="000000" w:themeColor="text1"/>
          <w:sz w:val="24"/>
          <w:szCs w:val="28"/>
          <w:lang w:val="en-US" w:eastAsia="zh-CN"/>
          <w14:textFill>
            <w14:solidFill>
              <w14:schemeClr w14:val="tx1"/>
            </w14:solidFill>
          </w14:textFill>
        </w:rPr>
        <w:t>365</w:t>
      </w:r>
      <w:r>
        <w:rPr>
          <w:rFonts w:ascii="Times New Roman" w:hAnsi="Times New Roman" w:cs="Times New Roman"/>
          <w:color w:val="000000" w:themeColor="text1"/>
          <w:sz w:val="24"/>
          <w:szCs w:val="28"/>
          <w14:textFill>
            <w14:solidFill>
              <w14:schemeClr w14:val="tx1"/>
            </w14:solidFill>
          </w14:textFill>
        </w:rPr>
        <w:t>人</w:t>
      </w:r>
      <w:r>
        <w:rPr>
          <w:rFonts w:hint="eastAsia" w:ascii="Times New Roman" w:hAnsi="Times New Roman" w:cs="Times New Roman"/>
          <w:color w:val="000000" w:themeColor="text1"/>
          <w:sz w:val="24"/>
          <w:szCs w:val="28"/>
          <w14:textFill>
            <w14:solidFill>
              <w14:schemeClr w14:val="tx1"/>
            </w14:solidFill>
          </w14:textFill>
        </w:rPr>
        <w:t>，</w:t>
      </w:r>
      <w:r>
        <w:rPr>
          <w:rFonts w:ascii="Times New Roman" w:hAnsi="Times New Roman" w:cs="Times New Roman"/>
          <w:color w:val="000000" w:themeColor="text1"/>
          <w:sz w:val="24"/>
          <w:szCs w:val="28"/>
          <w14:textFill>
            <w14:solidFill>
              <w14:schemeClr w14:val="tx1"/>
            </w14:solidFill>
          </w14:textFill>
        </w:rPr>
        <w:t>得到社会高度评价。兴合田</w:t>
      </w:r>
      <w:r>
        <w:rPr>
          <w:rFonts w:hint="eastAsia" w:ascii="Times New Roman" w:hAnsi="Times New Roman" w:cs="Times New Roman"/>
          <w:color w:val="000000" w:themeColor="text1"/>
          <w:sz w:val="24"/>
          <w:szCs w:val="28"/>
          <w14:textFill>
            <w14:solidFill>
              <w14:schemeClr w14:val="tx1"/>
            </w14:solidFill>
          </w14:textFill>
        </w:rPr>
        <w:t>研究院</w:t>
      </w:r>
      <w:r>
        <w:rPr>
          <w:rFonts w:ascii="Times New Roman" w:hAnsi="Times New Roman" w:cs="Times New Roman"/>
          <w:color w:val="000000" w:themeColor="text1"/>
          <w:sz w:val="24"/>
          <w:szCs w:val="28"/>
          <w14:textFill>
            <w14:solidFill>
              <w14:schemeClr w14:val="tx1"/>
            </w14:solidFill>
          </w14:textFill>
        </w:rPr>
        <w:t>对用人单位和学生家长分别进行了满意度调研，采集用人单位</w:t>
      </w:r>
      <w:r>
        <w:rPr>
          <w:rFonts w:hint="eastAsia" w:ascii="Times New Roman" w:hAnsi="Times New Roman" w:cs="Times New Roman"/>
          <w:color w:val="000000" w:themeColor="text1"/>
          <w:sz w:val="24"/>
          <w:szCs w:val="28"/>
          <w:lang w:val="en-US" w:eastAsia="zh-CN"/>
          <w14:textFill>
            <w14:solidFill>
              <w14:schemeClr w14:val="tx1"/>
            </w14:solidFill>
          </w14:textFill>
        </w:rPr>
        <w:t>及</w:t>
      </w:r>
      <w:r>
        <w:rPr>
          <w:rFonts w:ascii="Times New Roman" w:hAnsi="Times New Roman" w:cs="Times New Roman"/>
          <w:color w:val="000000" w:themeColor="text1"/>
          <w:sz w:val="24"/>
          <w:szCs w:val="28"/>
          <w14:textFill>
            <w14:solidFill>
              <w14:schemeClr w14:val="tx1"/>
            </w14:solidFill>
          </w14:textFill>
        </w:rPr>
        <w:t>家长有效问卷</w:t>
      </w:r>
      <w:r>
        <w:rPr>
          <w:rFonts w:hint="eastAsia" w:ascii="Times New Roman" w:hAnsi="Times New Roman" w:cs="Times New Roman"/>
          <w:color w:val="000000" w:themeColor="text1"/>
          <w:sz w:val="24"/>
          <w:szCs w:val="28"/>
          <w:lang w:val="en-US" w:eastAsia="zh-CN"/>
          <w14:textFill>
            <w14:solidFill>
              <w14:schemeClr w14:val="tx1"/>
            </w14:solidFill>
          </w14:textFill>
        </w:rPr>
        <w:t>407</w:t>
      </w:r>
      <w:r>
        <w:rPr>
          <w:rFonts w:ascii="Times New Roman" w:hAnsi="Times New Roman" w:cs="Times New Roman"/>
          <w:color w:val="000000" w:themeColor="text1"/>
          <w:sz w:val="24"/>
          <w:szCs w:val="28"/>
          <w14:textFill>
            <w14:solidFill>
              <w14:schemeClr w14:val="tx1"/>
            </w14:solidFill>
          </w14:textFill>
        </w:rPr>
        <w:t>份。</w:t>
      </w:r>
      <w:r>
        <w:rPr>
          <w:rFonts w:ascii="Times New Roman" w:hAnsi="Times New Roman" w:cs="Times New Roman"/>
          <w:color w:val="000000" w:themeColor="text1"/>
          <w:sz w:val="24"/>
          <w14:textFill>
            <w14:solidFill>
              <w14:schemeClr w14:val="tx1"/>
            </w14:solidFill>
          </w14:textFill>
        </w:rPr>
        <w:t>用人单位满意</w:t>
      </w:r>
      <w:r>
        <w:rPr>
          <w:rFonts w:hint="eastAsia" w:ascii="Times New Roman" w:hAnsi="Times New Roman" w:cs="Times New Roman"/>
          <w:color w:val="000000" w:themeColor="text1"/>
          <w:sz w:val="24"/>
          <w14:textFill>
            <w14:solidFill>
              <w14:schemeClr w14:val="tx1"/>
            </w14:solidFill>
          </w14:textFill>
        </w:rPr>
        <w:t>度为</w:t>
      </w:r>
      <w:r>
        <w:rPr>
          <w:rFonts w:hint="eastAsia" w:ascii="Times New Roman" w:hAnsi="Times New Roman" w:cs="Times New Roman"/>
          <w:color w:val="000000" w:themeColor="text1"/>
          <w:sz w:val="24"/>
          <w:lang w:val="en-US" w:eastAsia="zh-CN"/>
          <w14:textFill>
            <w14:solidFill>
              <w14:schemeClr w14:val="tx1"/>
            </w14:solidFill>
          </w14:textFill>
        </w:rPr>
        <w:t>100</w:t>
      </w:r>
      <w:r>
        <w:rPr>
          <w:rFonts w:hint="eastAsia" w:ascii="Times New Roman" w:hAnsi="Times New Roman" w:cs="Times New Roman"/>
          <w:color w:val="000000" w:themeColor="text1"/>
          <w:sz w:val="24"/>
          <w14:textFill>
            <w14:solidFill>
              <w14:schemeClr w14:val="tx1"/>
            </w14:solidFill>
          </w14:textFill>
        </w:rPr>
        <w:t>%、</w:t>
      </w:r>
      <w:r>
        <w:rPr>
          <w:rFonts w:ascii="Times New Roman" w:hAnsi="Times New Roman" w:cs="Times New Roman"/>
          <w:color w:val="000000" w:themeColor="text1"/>
          <w:sz w:val="24"/>
          <w14:textFill>
            <w14:solidFill>
              <w14:schemeClr w14:val="tx1"/>
            </w14:solidFill>
          </w14:textFill>
        </w:rPr>
        <w:t>家长</w:t>
      </w:r>
      <w:r>
        <w:rPr>
          <w:rFonts w:hint="eastAsia" w:ascii="Times New Roman" w:hAnsi="Times New Roman" w:cs="Times New Roman"/>
          <w:color w:val="000000" w:themeColor="text1"/>
          <w:sz w:val="24"/>
          <w14:textFill>
            <w14:solidFill>
              <w14:schemeClr w14:val="tx1"/>
            </w14:solidFill>
          </w14:textFill>
        </w:rPr>
        <w:t>满意度为</w:t>
      </w:r>
      <w:r>
        <w:rPr>
          <w:rFonts w:hint="eastAsia" w:ascii="Times New Roman" w:hAnsi="Times New Roman" w:cs="Times New Roman"/>
          <w:color w:val="000000" w:themeColor="text1"/>
          <w:sz w:val="24"/>
          <w:lang w:val="en-US" w:eastAsia="zh-CN"/>
          <w14:textFill>
            <w14:solidFill>
              <w14:schemeClr w14:val="tx1"/>
            </w14:solidFill>
          </w14:textFill>
        </w:rPr>
        <w:t>91.36</w:t>
      </w:r>
      <w:r>
        <w:rPr>
          <w:rFonts w:hint="eastAsia" w:ascii="Times New Roman" w:hAnsi="Times New Roman" w:cs="Times New Roman"/>
          <w:color w:val="000000" w:themeColor="text1"/>
          <w:sz w:val="24"/>
          <w14:textFill>
            <w14:solidFill>
              <w14:schemeClr w14:val="tx1"/>
            </w14:solidFill>
          </w14:textFill>
        </w:rPr>
        <w:t>%。统计结果</w:t>
      </w:r>
      <w:r>
        <w:rPr>
          <w:rFonts w:ascii="Times New Roman" w:hAnsi="Times New Roman" w:cs="Times New Roman"/>
          <w:color w:val="000000" w:themeColor="text1"/>
          <w:sz w:val="24"/>
          <w14:textFill>
            <w14:solidFill>
              <w14:schemeClr w14:val="tx1"/>
            </w14:solidFill>
          </w14:textFill>
        </w:rPr>
        <w:t>见图</w:t>
      </w:r>
      <w:r>
        <w:rPr>
          <w:rFonts w:hint="eastAsia" w:ascii="Times New Roman" w:hAnsi="Times New Roman" w:cs="Times New Roman"/>
          <w:color w:val="000000" w:themeColor="text1"/>
          <w:sz w:val="24"/>
          <w14:textFill>
            <w14:solidFill>
              <w14:schemeClr w14:val="tx1"/>
            </w14:solidFill>
          </w14:textFill>
        </w:rPr>
        <w:t>5-</w:t>
      </w:r>
      <w:r>
        <w:rPr>
          <w:rFonts w:hint="eastAsia" w:ascii="Times New Roman" w:hAnsi="Times New Roman" w:cs="Times New Roman"/>
          <w:color w:val="000000" w:themeColor="text1"/>
          <w:sz w:val="24"/>
          <w:lang w:val="en-US" w:eastAsia="zh-CN"/>
          <w14:textFill>
            <w14:solidFill>
              <w14:schemeClr w14:val="tx1"/>
            </w14:solidFill>
          </w14:textFill>
        </w:rPr>
        <w:t>1</w:t>
      </w:r>
      <w:r>
        <w:rPr>
          <w:rFonts w:ascii="Times New Roman" w:hAnsi="Times New Roman" w:cs="Times New Roman"/>
          <w:color w:val="000000" w:themeColor="text1"/>
          <w:sz w:val="24"/>
          <w14:textFill>
            <w14:solidFill>
              <w14:schemeClr w14:val="tx1"/>
            </w14:solidFill>
          </w14:textFill>
        </w:rPr>
        <w:t>。</w:t>
      </w:r>
    </w:p>
    <w:p>
      <w:pPr>
        <w:pStyle w:val="34"/>
        <w:ind w:firstLine="0" w:firstLineChars="0"/>
        <w:jc w:val="center"/>
        <w:rPr>
          <w:rFonts w:ascii="Times New Roman" w:hAnsi="Times New Roman" w:cs="Times New Roman"/>
        </w:rPr>
      </w:pPr>
      <w:r>
        <w:rPr>
          <w:rFonts w:ascii="Times New Roman" w:hAnsi="Times New Roman"/>
        </w:rPr>
        <w:drawing>
          <wp:inline distT="0" distB="0" distL="114300" distR="114300">
            <wp:extent cx="5117465" cy="1952625"/>
            <wp:effectExtent l="0" t="0" r="6985" b="9525"/>
            <wp:docPr id="48" name="图表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图5-</w:t>
      </w:r>
      <w:r>
        <w:rPr>
          <w:rFonts w:hint="eastAsia" w:ascii="Times New Roman" w:hAnsi="Times New Roman" w:cs="Times New Roman"/>
          <w:b/>
          <w:color w:val="000000" w:themeColor="text1"/>
          <w:kern w:val="2"/>
          <w:sz w:val="21"/>
          <w:szCs w:val="21"/>
          <w:lang w:val="en-US" w:eastAsia="zh-CN"/>
          <w14:textFill>
            <w14:solidFill>
              <w14:schemeClr w14:val="tx1"/>
            </w14:solidFill>
          </w14:textFill>
        </w:rPr>
        <w:t>1</w:t>
      </w:r>
      <w:r>
        <w:rPr>
          <w:rFonts w:ascii="Times New Roman" w:hAnsi="Times New Roman" w:cs="Times New Roman"/>
          <w:b/>
          <w:color w:val="000000" w:themeColor="text1"/>
          <w:kern w:val="2"/>
          <w:sz w:val="21"/>
          <w:szCs w:val="21"/>
          <w14:textFill>
            <w14:solidFill>
              <w14:schemeClr w14:val="tx1"/>
            </w14:solidFill>
          </w14:textFill>
        </w:rPr>
        <w:t xml:space="preserve">  家长满意度</w:t>
      </w:r>
    </w:p>
    <w:p>
      <w:pPr>
        <w:pStyle w:val="5"/>
        <w:rPr>
          <w:rFonts w:ascii="Times New Roman" w:hAnsi="Times New Roman"/>
        </w:rPr>
      </w:pPr>
      <w:bookmarkStart w:id="83" w:name="_Toc14524"/>
      <w:bookmarkStart w:id="84" w:name="_Toc61256692"/>
      <w:r>
        <w:rPr>
          <w:rFonts w:ascii="Times New Roman" w:hAnsi="Times New Roman"/>
        </w:rPr>
        <w:t>（二）社会服务</w:t>
      </w:r>
      <w:bookmarkEnd w:id="83"/>
      <w:bookmarkEnd w:id="84"/>
    </w:p>
    <w:p>
      <w:pPr>
        <w:pStyle w:val="34"/>
        <w:ind w:firstLine="562"/>
        <w:rPr>
          <w:rFonts w:ascii="Times New Roman" w:hAnsi="Times New Roman" w:cs="Times New Roman"/>
          <w:b/>
        </w:rPr>
      </w:pPr>
      <w:r>
        <w:rPr>
          <w:rFonts w:ascii="Times New Roman" w:hAnsi="Times New Roman" w:cs="Times New Roman"/>
          <w:b/>
        </w:rPr>
        <w:t>1.培训服务</w:t>
      </w:r>
    </w:p>
    <w:p>
      <w:pPr>
        <w:spacing w:line="300" w:lineRule="auto"/>
        <w:ind w:firstLine="480" w:firstLineChars="200"/>
        <w:rPr>
          <w:rFonts w:ascii="Times New Roman" w:hAnsi="Times New Roman"/>
          <w:sz w:val="24"/>
          <w:szCs w:val="28"/>
        </w:rPr>
      </w:pPr>
      <w:r>
        <w:rPr>
          <w:rFonts w:hint="eastAsia" w:ascii="Times New Roman" w:hAnsi="Times New Roman"/>
          <w:sz w:val="24"/>
          <w:szCs w:val="28"/>
          <w:lang w:val="en-US" w:eastAsia="zh-CN"/>
        </w:rPr>
        <w:t>2020-2021</w:t>
      </w:r>
      <w:r>
        <w:rPr>
          <w:rFonts w:ascii="Times New Roman" w:hAnsi="Times New Roman"/>
          <w:sz w:val="24"/>
          <w:szCs w:val="28"/>
        </w:rPr>
        <w:t>学年</w:t>
      </w:r>
      <w:r>
        <w:rPr>
          <w:rFonts w:hint="eastAsia" w:ascii="Times New Roman" w:hAnsi="Times New Roman"/>
          <w:sz w:val="24"/>
          <w:szCs w:val="28"/>
        </w:rPr>
        <w:t>，</w:t>
      </w:r>
      <w:r>
        <w:rPr>
          <w:rFonts w:ascii="Times New Roman" w:hAnsi="Times New Roman"/>
          <w:sz w:val="24"/>
          <w:szCs w:val="28"/>
        </w:rPr>
        <w:t>学校</w:t>
      </w:r>
      <w:r>
        <w:rPr>
          <w:rFonts w:hint="eastAsia" w:ascii="Times New Roman" w:hAnsi="Times New Roman"/>
          <w:sz w:val="24"/>
          <w:szCs w:val="28"/>
        </w:rPr>
        <w:t>积极</w:t>
      </w:r>
      <w:r>
        <w:rPr>
          <w:rFonts w:ascii="Times New Roman" w:hAnsi="Times New Roman"/>
          <w:sz w:val="24"/>
          <w:szCs w:val="28"/>
        </w:rPr>
        <w:t>做好社会培训，累计培训</w:t>
      </w:r>
      <w:r>
        <w:rPr>
          <w:rFonts w:hint="eastAsia" w:ascii="Times New Roman" w:hAnsi="Times New Roman"/>
          <w:sz w:val="24"/>
          <w:szCs w:val="28"/>
          <w:lang w:val="en-US" w:eastAsia="zh-CN"/>
        </w:rPr>
        <w:t>3581</w:t>
      </w:r>
      <w:r>
        <w:rPr>
          <w:rFonts w:ascii="Times New Roman" w:hAnsi="Times New Roman"/>
          <w:sz w:val="24"/>
          <w:szCs w:val="28"/>
        </w:rPr>
        <w:t>人次，其中</w:t>
      </w:r>
      <w:r>
        <w:rPr>
          <w:rFonts w:hint="eastAsia" w:ascii="Times New Roman" w:hAnsi="Times New Roman"/>
          <w:sz w:val="24"/>
          <w:szCs w:val="28"/>
        </w:rPr>
        <w:t>培训企业员工</w:t>
      </w:r>
      <w:r>
        <w:rPr>
          <w:rFonts w:hint="eastAsia" w:ascii="Times New Roman" w:hAnsi="Times New Roman"/>
          <w:sz w:val="24"/>
          <w:szCs w:val="28"/>
          <w:lang w:val="en-US" w:eastAsia="zh-CN"/>
        </w:rPr>
        <w:t>1098</w:t>
      </w:r>
      <w:r>
        <w:rPr>
          <w:rFonts w:hint="eastAsia" w:ascii="Times New Roman" w:hAnsi="Times New Roman"/>
          <w:sz w:val="24"/>
          <w:szCs w:val="28"/>
        </w:rPr>
        <w:t>人次，培训农民工及失业人员</w:t>
      </w:r>
      <w:r>
        <w:rPr>
          <w:rFonts w:hint="eastAsia" w:ascii="Times New Roman" w:hAnsi="Times New Roman"/>
          <w:sz w:val="24"/>
          <w:szCs w:val="28"/>
          <w:lang w:val="en-US" w:eastAsia="zh-CN"/>
        </w:rPr>
        <w:t>290</w:t>
      </w:r>
      <w:r>
        <w:rPr>
          <w:rFonts w:hint="eastAsia" w:ascii="Times New Roman" w:hAnsi="Times New Roman"/>
          <w:sz w:val="24"/>
          <w:szCs w:val="28"/>
        </w:rPr>
        <w:t>人次，培训农牧民</w:t>
      </w:r>
      <w:r>
        <w:rPr>
          <w:rFonts w:hint="eastAsia" w:ascii="Times New Roman" w:hAnsi="Times New Roman"/>
          <w:sz w:val="24"/>
          <w:szCs w:val="28"/>
          <w:lang w:val="en-US" w:eastAsia="zh-CN"/>
        </w:rPr>
        <w:t>230</w:t>
      </w:r>
      <w:r>
        <w:rPr>
          <w:rFonts w:hint="eastAsia" w:ascii="Times New Roman" w:hAnsi="Times New Roman"/>
          <w:sz w:val="24"/>
          <w:szCs w:val="28"/>
        </w:rPr>
        <w:t>人次</w:t>
      </w:r>
      <w:r>
        <w:rPr>
          <w:rFonts w:ascii="Times New Roman" w:hAnsi="Times New Roman"/>
          <w:sz w:val="24"/>
          <w:szCs w:val="28"/>
        </w:rPr>
        <w:t>。</w:t>
      </w:r>
    </w:p>
    <w:p>
      <w:pPr>
        <w:pStyle w:val="34"/>
        <w:ind w:firstLine="562"/>
        <w:rPr>
          <w:rFonts w:ascii="Times New Roman" w:hAnsi="Times New Roman" w:cs="Times New Roman"/>
          <w:b/>
          <w:i/>
          <w:iCs/>
          <w:color w:val="000000"/>
        </w:rPr>
      </w:pPr>
      <w:r>
        <w:rPr>
          <w:rFonts w:ascii="Times New Roman" w:hAnsi="Times New Roman" w:cs="Times New Roman"/>
          <w:b/>
          <w:color w:val="000000"/>
        </w:rPr>
        <w:t>2.社区服务</w:t>
      </w:r>
    </w:p>
    <w:p>
      <w:pPr>
        <w:spacing w:line="300" w:lineRule="auto"/>
        <w:ind w:firstLine="480" w:firstLineChars="200"/>
        <w:rPr>
          <w:rFonts w:ascii="Times New Roman" w:hAnsi="Times New Roman"/>
          <w:sz w:val="24"/>
          <w:szCs w:val="28"/>
        </w:rPr>
      </w:pPr>
      <w:r>
        <w:rPr>
          <w:rFonts w:hint="eastAsia" w:ascii="Times New Roman" w:hAnsi="Times New Roman"/>
          <w:sz w:val="24"/>
          <w:szCs w:val="28"/>
        </w:rPr>
        <w:t>由于新冠疫情的影响，</w:t>
      </w:r>
      <w:r>
        <w:rPr>
          <w:rFonts w:hint="eastAsia" w:ascii="Times New Roman" w:hAnsi="Times New Roman"/>
          <w:sz w:val="24"/>
          <w:szCs w:val="28"/>
          <w:lang w:val="en-US" w:eastAsia="zh-CN"/>
        </w:rPr>
        <w:t>2020-2021</w:t>
      </w:r>
      <w:r>
        <w:rPr>
          <w:rFonts w:hint="eastAsia" w:ascii="Times New Roman" w:hAnsi="Times New Roman"/>
          <w:sz w:val="24"/>
          <w:szCs w:val="28"/>
        </w:rPr>
        <w:t>学年，开展社区服务的次数较少，主要体现在疫情防控志愿者服务方面。</w:t>
      </w:r>
    </w:p>
    <w:p>
      <w:pPr>
        <w:jc w:val="distribute"/>
        <w:rPr>
          <w:rFonts w:ascii="Times New Roman" w:hAnsi="Times New Roman"/>
        </w:rPr>
      </w:pPr>
      <w:r>
        <w:rPr>
          <w:rFonts w:ascii="Times New Roman" w:hAnsi="Times New Roman"/>
        </w:rPr>
        <w:drawing>
          <wp:inline distT="0" distB="0" distL="0" distR="0">
            <wp:extent cx="2840355" cy="2072005"/>
            <wp:effectExtent l="0" t="0" r="17145" b="4445"/>
            <wp:docPr id="30" name="图片 47" descr="H:\兴和田\海西州职业技术学校质量年度报告（2020年  校方提供）\中职材料\团委--学生思想政治和德育工作总结\03.校园文化建设活动的开展与落实情况\照片\2020年1月助力疫情防控志愿者进社区服务\图片5.png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7" descr="H:\兴和田\海西州职业技术学校质量年度报告（2020年  校方提供）\中职材料\团委--学生思想政治和德育工作总结\03.校园文化建设活动的开展与落实情况\照片\2020年1月助力疫情防控志愿者进社区服务\图片5.png图片5"/>
                    <pic:cNvPicPr>
                      <a:picLocks noChangeAspect="1" noChangeArrowheads="1"/>
                    </pic:cNvPicPr>
                  </pic:nvPicPr>
                  <pic:blipFill>
                    <a:blip r:embed="rId42" cstate="print"/>
                    <a:srcRect/>
                    <a:stretch>
                      <a:fillRect/>
                    </a:stretch>
                  </pic:blipFill>
                  <pic:spPr>
                    <a:xfrm>
                      <a:off x="0" y="0"/>
                      <a:ext cx="2840355" cy="2072005"/>
                    </a:xfrm>
                    <a:prstGeom prst="rect">
                      <a:avLst/>
                    </a:prstGeom>
                    <a:noFill/>
                    <a:ln>
                      <a:noFill/>
                    </a:ln>
                  </pic:spPr>
                </pic:pic>
              </a:graphicData>
            </a:graphic>
          </wp:inline>
        </w:drawing>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 xml:space="preserve">图5-3  </w:t>
      </w:r>
      <w:r>
        <w:rPr>
          <w:rFonts w:hint="eastAsia" w:ascii="Times New Roman" w:hAnsi="Times New Roman" w:cs="Times New Roman"/>
          <w:b/>
          <w:color w:val="000000" w:themeColor="text1"/>
          <w:kern w:val="2"/>
          <w:sz w:val="21"/>
          <w:szCs w:val="21"/>
          <w14:textFill>
            <w14:solidFill>
              <w14:schemeClr w14:val="tx1"/>
            </w14:solidFill>
          </w14:textFill>
        </w:rPr>
        <w:t>社区服务活动</w:t>
      </w:r>
    </w:p>
    <w:p>
      <w:pPr>
        <w:pStyle w:val="5"/>
        <w:rPr>
          <w:rFonts w:ascii="Times New Roman" w:hAnsi="Times New Roman"/>
        </w:rPr>
      </w:pPr>
      <w:bookmarkStart w:id="85" w:name="_Toc23973"/>
      <w:bookmarkStart w:id="86" w:name="_Toc61256693"/>
      <w:r>
        <w:rPr>
          <w:rFonts w:ascii="Times New Roman" w:hAnsi="Times New Roman"/>
        </w:rPr>
        <w:t>（三）对口支援</w:t>
      </w:r>
      <w:bookmarkEnd w:id="85"/>
      <w:bookmarkEnd w:id="86"/>
    </w:p>
    <w:p>
      <w:pPr>
        <w:spacing w:line="300" w:lineRule="auto"/>
        <w:ind w:firstLine="480" w:firstLineChars="200"/>
        <w:rPr>
          <w:rFonts w:ascii="Times New Roman" w:hAnsi="Times New Roman"/>
          <w:color w:val="000000" w:themeColor="text1"/>
          <w:sz w:val="24"/>
          <w:szCs w:val="28"/>
          <w14:textFill>
            <w14:solidFill>
              <w14:schemeClr w14:val="tx1"/>
            </w14:solidFill>
          </w14:textFill>
        </w:rPr>
      </w:pPr>
      <w:r>
        <w:rPr>
          <w:rFonts w:hint="eastAsia" w:ascii="Times New Roman" w:hAnsi="Times New Roman"/>
          <w:color w:val="000000" w:themeColor="text1"/>
          <w:sz w:val="24"/>
          <w:szCs w:val="28"/>
          <w14:textFill>
            <w14:solidFill>
              <w14:schemeClr w14:val="tx1"/>
            </w14:solidFill>
          </w14:textFill>
        </w:rPr>
        <w:t>持续推进与浙江对口援建院校合作交流，加快</w:t>
      </w:r>
      <w:r>
        <w:rPr>
          <w:rFonts w:hint="eastAsia" w:ascii="Times New Roman" w:hAnsi="Times New Roman"/>
          <w:color w:val="000000" w:themeColor="text1"/>
          <w:sz w:val="24"/>
          <w:szCs w:val="28"/>
          <w:highlight w:val="none"/>
          <w14:textFill>
            <w14:solidFill>
              <w14:schemeClr w14:val="tx1"/>
            </w14:solidFill>
          </w14:textFill>
        </w:rPr>
        <w:t>推荐学</w:t>
      </w:r>
      <w:r>
        <w:rPr>
          <w:rFonts w:hint="eastAsia" w:ascii="Times New Roman" w:hAnsi="Times New Roman"/>
          <w:color w:val="000000" w:themeColor="text1"/>
          <w:sz w:val="24"/>
          <w:szCs w:val="28"/>
          <w:highlight w:val="none"/>
          <w:lang w:val="en-US" w:eastAsia="zh-CN"/>
          <w14:textFill>
            <w14:solidFill>
              <w14:schemeClr w14:val="tx1"/>
            </w14:solidFill>
          </w14:textFill>
        </w:rPr>
        <w:t>校</w:t>
      </w:r>
      <w:r>
        <w:rPr>
          <w:rFonts w:hint="eastAsia" w:ascii="Times New Roman" w:hAnsi="Times New Roman"/>
          <w:color w:val="000000" w:themeColor="text1"/>
          <w:sz w:val="24"/>
          <w:szCs w:val="28"/>
          <w:highlight w:val="none"/>
          <w14:textFill>
            <w14:solidFill>
              <w14:schemeClr w14:val="tx1"/>
            </w14:solidFill>
          </w14:textFill>
        </w:rPr>
        <w:t>专业建设服务地方产业能力建设。与宁波职业技术学院签订新一轮对口支援协议，助推应用化工技术专业（群）建设；与浙江机电职业技术学院、浙江旅游职业学院、浙江纺织服装职业学院、浙江省桐乡卫校就相关专业开展进一步交流合作，互派学生学</w:t>
      </w:r>
      <w:r>
        <w:rPr>
          <w:rFonts w:hint="eastAsia" w:ascii="Times New Roman" w:hAnsi="Times New Roman"/>
          <w:color w:val="000000" w:themeColor="text1"/>
          <w:sz w:val="24"/>
          <w:szCs w:val="28"/>
          <w14:textFill>
            <w14:solidFill>
              <w14:schemeClr w14:val="tx1"/>
            </w14:solidFill>
          </w14:textFill>
        </w:rPr>
        <w:t>习。</w:t>
      </w:r>
    </w:p>
    <w:p>
      <w:pPr>
        <w:pStyle w:val="5"/>
        <w:numPr>
          <w:ilvl w:val="0"/>
          <w:numId w:val="1"/>
        </w:numPr>
        <w:rPr>
          <w:rFonts w:ascii="Times New Roman" w:hAnsi="Times New Roman"/>
        </w:rPr>
      </w:pPr>
      <w:bookmarkStart w:id="87" w:name="_Toc61256694"/>
      <w:bookmarkStart w:id="88" w:name="_Toc22044"/>
      <w:r>
        <w:rPr>
          <w:rFonts w:hint="eastAsia" w:ascii="Times New Roman" w:hAnsi="Times New Roman"/>
          <w:lang w:val="en-US" w:eastAsia="zh-CN"/>
        </w:rPr>
        <w:t>对口帮扶</w:t>
      </w:r>
      <w:bookmarkEnd w:id="87"/>
      <w:bookmarkEnd w:id="88"/>
    </w:p>
    <w:p>
      <w:pPr>
        <w:pStyle w:val="34"/>
        <w:spacing w:line="300" w:lineRule="auto"/>
        <w:ind w:firstLine="482"/>
        <w:rPr>
          <w:rFonts w:hint="eastAsia" w:ascii="Times New Roman" w:hAnsi="Times New Roman" w:cs="Times New Roman"/>
          <w:bCs/>
          <w:sz w:val="24"/>
          <w:szCs w:val="24"/>
        </w:rPr>
      </w:pPr>
      <w:r>
        <w:rPr>
          <w:rFonts w:hint="eastAsia" w:ascii="Times New Roman" w:hAnsi="Times New Roman" w:cs="Times New Roman"/>
          <w:b w:val="0"/>
          <w:bCs/>
          <w:sz w:val="24"/>
          <w:szCs w:val="24"/>
          <w:lang w:val="en-US" w:eastAsia="zh-CN"/>
        </w:rPr>
        <w:t>学校严格按照</w:t>
      </w:r>
      <w:r>
        <w:rPr>
          <w:rFonts w:hint="eastAsia" w:ascii="Times New Roman" w:hAnsi="Times New Roman" w:cs="Times New Roman"/>
          <w:b w:val="0"/>
          <w:bCs/>
          <w:sz w:val="24"/>
          <w:szCs w:val="24"/>
        </w:rPr>
        <w:t>州委州政府、市委市政府统一安排部署</w:t>
      </w:r>
      <w:r>
        <w:rPr>
          <w:rFonts w:hint="eastAsia" w:ascii="Times New Roman" w:hAnsi="Times New Roman" w:cs="Times New Roman"/>
          <w:b w:val="0"/>
          <w:bCs/>
          <w:sz w:val="24"/>
          <w:szCs w:val="24"/>
          <w:lang w:eastAsia="zh-CN"/>
        </w:rPr>
        <w:t>，</w:t>
      </w:r>
      <w:r>
        <w:rPr>
          <w:rFonts w:hint="eastAsia" w:ascii="Times New Roman" w:hAnsi="Times New Roman" w:cs="Times New Roman"/>
          <w:b w:val="0"/>
          <w:bCs/>
          <w:sz w:val="24"/>
          <w:szCs w:val="24"/>
        </w:rPr>
        <w:t>扎实开展巩固脱贫攻坚成果与乡村振兴</w:t>
      </w:r>
      <w:r>
        <w:rPr>
          <w:rFonts w:hint="eastAsia" w:ascii="Times New Roman" w:hAnsi="Times New Roman" w:cs="Times New Roman"/>
          <w:b w:val="0"/>
          <w:bCs/>
          <w:sz w:val="24"/>
          <w:szCs w:val="24"/>
          <w:lang w:eastAsia="zh-CN"/>
        </w:rPr>
        <w:t>，</w:t>
      </w:r>
      <w:r>
        <w:rPr>
          <w:rFonts w:hint="eastAsia" w:ascii="Times New Roman" w:hAnsi="Times New Roman" w:cs="Times New Roman"/>
          <w:bCs/>
          <w:sz w:val="24"/>
          <w:szCs w:val="24"/>
        </w:rPr>
        <w:t>开展为期一个多月的脱贫攻坚成效“回头看”自查自纠工作及“我为群众办实事”等工作。根据青海省扶贫开发局《关于2020年度村级公益性岗位开发管理工作实施方案》要求，及市委市政府、郭勒木德镇环境卫生整治专题会议的部署，设立光伏扶贫公益性岗位1人，工资为每月900元，由村光伏扶贫收益资金支出。设立村级公益性岗位1人，工资为每月1000元，由村集体经济收益资金支出。</w:t>
      </w:r>
    </w:p>
    <w:p>
      <w:pPr>
        <w:pStyle w:val="34"/>
        <w:numPr>
          <w:ilvl w:val="0"/>
          <w:numId w:val="1"/>
        </w:numPr>
        <w:spacing w:line="300" w:lineRule="auto"/>
        <w:ind w:firstLine="602"/>
        <w:rPr>
          <w:rStyle w:val="30"/>
          <w:rFonts w:hint="default"/>
        </w:rPr>
      </w:pPr>
      <w:bookmarkStart w:id="89" w:name="_Toc17170"/>
      <w:r>
        <w:rPr>
          <w:rStyle w:val="30"/>
          <w:rFonts w:hint="eastAsia"/>
          <w:lang w:val="en-US" w:eastAsia="zh-CN"/>
        </w:rPr>
        <w:t>疫情防控</w:t>
      </w:r>
    </w:p>
    <w:bookmarkEnd w:id="89"/>
    <w:p>
      <w:pPr>
        <w:spacing w:line="300" w:lineRule="auto"/>
        <w:ind w:firstLine="480" w:firstLineChars="200"/>
        <w:rPr>
          <w:rFonts w:hint="eastAsia" w:ascii="Times New Roman" w:hAnsi="Times New Roman"/>
          <w:color w:val="000000" w:themeColor="text1"/>
          <w:sz w:val="24"/>
          <w:szCs w:val="28"/>
          <w14:textFill>
            <w14:solidFill>
              <w14:schemeClr w14:val="tx1"/>
            </w14:solidFill>
          </w14:textFill>
        </w:rPr>
      </w:pPr>
      <w:r>
        <w:rPr>
          <w:rFonts w:hint="eastAsia" w:ascii="Times New Roman" w:hAnsi="Times New Roman" w:cs="Times New Roman"/>
          <w:color w:val="000000" w:themeColor="text1"/>
          <w:sz w:val="24"/>
          <w:szCs w:val="28"/>
          <w14:textFill>
            <w14:solidFill>
              <w14:schemeClr w14:val="tx1"/>
            </w14:solidFill>
          </w14:textFill>
        </w:rPr>
        <w:t>学</w:t>
      </w:r>
      <w:r>
        <w:rPr>
          <w:rFonts w:hint="eastAsia" w:ascii="Times New Roman" w:hAnsi="Times New Roman" w:cs="Times New Roman"/>
          <w:color w:val="000000" w:themeColor="text1"/>
          <w:sz w:val="24"/>
          <w:szCs w:val="28"/>
          <w:lang w:val="en-US" w:eastAsia="zh-CN"/>
          <w14:textFill>
            <w14:solidFill>
              <w14:schemeClr w14:val="tx1"/>
            </w14:solidFill>
          </w14:textFill>
        </w:rPr>
        <w:t>校</w:t>
      </w:r>
      <w:r>
        <w:rPr>
          <w:rFonts w:hint="eastAsia" w:ascii="Times New Roman" w:hAnsi="Times New Roman" w:cs="Times New Roman"/>
          <w:color w:val="000000" w:themeColor="text1"/>
          <w:sz w:val="24"/>
          <w:szCs w:val="28"/>
          <w14:textFill>
            <w14:solidFill>
              <w14:schemeClr w14:val="tx1"/>
            </w14:solidFill>
          </w14:textFill>
        </w:rPr>
        <w:t>结合开学工作实际，按照省教育厅“十个到位”要求，起草《开学工作方案》和《应急处置预案》，制定《学生错峰返校工作方案》，完善《传染病防控健康教育制度》《“不能按时到校及身体异样学生”复课查验制度》《师生晨、午检工作制度》《传染病疫情及突发公共卫生事件报告制度》《消毒隔离制度》《因病缺课登记追踪制度》《因病缺课登记制度》等多项工作制度，为全面开学打下制度保障。学校多方筹措抗疫物资</w:t>
      </w:r>
      <w:r>
        <w:rPr>
          <w:rFonts w:hint="eastAsia" w:ascii="Times New Roman" w:hAnsi="Times New Roman" w:cs="Times New Roman"/>
          <w:color w:val="000000" w:themeColor="text1"/>
          <w:sz w:val="24"/>
          <w:szCs w:val="28"/>
          <w:highlight w:val="none"/>
          <w14:textFill>
            <w14:solidFill>
              <w14:schemeClr w14:val="tx1"/>
            </w14:solidFill>
          </w14:textFill>
        </w:rPr>
        <w:t>，有上级部门调拨、合作企业义捐、爱心人士援助，并一一造册登记，分发有序。</w:t>
      </w:r>
      <w:r>
        <w:rPr>
          <w:rFonts w:hint="eastAsia" w:ascii="Times New Roman" w:hAnsi="Times New Roman" w:cs="Times New Roman"/>
          <w:color w:val="000000" w:themeColor="text1"/>
          <w:sz w:val="24"/>
          <w:szCs w:val="28"/>
          <w:highlight w:val="none"/>
          <w:lang w:val="en-US" w:eastAsia="zh-CN"/>
          <w14:textFill>
            <w14:solidFill>
              <w14:schemeClr w14:val="tx1"/>
            </w14:solidFill>
          </w14:textFill>
        </w:rPr>
        <w:t>截止2021年9月</w:t>
      </w:r>
      <w:r>
        <w:rPr>
          <w:rFonts w:hint="eastAsia" w:ascii="Times New Roman" w:hAnsi="Times New Roman" w:cs="Times New Roman"/>
          <w:color w:val="000000" w:themeColor="text1"/>
          <w:sz w:val="24"/>
          <w:szCs w:val="28"/>
          <w:highlight w:val="none"/>
          <w14:textFill>
            <w14:solidFill>
              <w14:schemeClr w14:val="tx1"/>
            </w14:solidFill>
          </w14:textFill>
        </w:rPr>
        <w:t>储备热</w:t>
      </w:r>
      <w:r>
        <w:rPr>
          <w:rFonts w:hint="eastAsia" w:ascii="Times New Roman" w:hAnsi="Times New Roman" w:cs="Times New Roman"/>
          <w:color w:val="000000" w:themeColor="text1"/>
          <w:sz w:val="24"/>
          <w:szCs w:val="28"/>
          <w14:textFill>
            <w14:solidFill>
              <w14:schemeClr w14:val="tx1"/>
            </w14:solidFill>
          </w14:textFill>
        </w:rPr>
        <w:t>成像测温系统，防护口罩，消毒消杀物资足够使用；留观室、临时隔离间可满足返青师生一人一间。</w:t>
      </w:r>
    </w:p>
    <w:p>
      <w:pPr>
        <w:pStyle w:val="4"/>
        <w:spacing w:before="312" w:after="156"/>
        <w:rPr>
          <w:rFonts w:ascii="Times New Roman" w:hAnsi="Times New Roman"/>
        </w:rPr>
      </w:pPr>
      <w:bookmarkStart w:id="90" w:name="_Toc5459"/>
      <w:bookmarkStart w:id="91" w:name="_Toc61256695"/>
      <w:r>
        <w:rPr>
          <w:rFonts w:ascii="Times New Roman" w:hAnsi="Times New Roman"/>
        </w:rPr>
        <w:t>六、举办</w:t>
      </w:r>
      <w:r>
        <w:rPr>
          <w:rFonts w:hint="eastAsia" w:ascii="Times New Roman" w:hAnsi="Times New Roman"/>
        </w:rPr>
        <w:t>者履责</w:t>
      </w:r>
      <w:bookmarkEnd w:id="90"/>
      <w:bookmarkEnd w:id="91"/>
    </w:p>
    <w:p>
      <w:pPr>
        <w:pStyle w:val="5"/>
      </w:pPr>
      <w:bookmarkStart w:id="92" w:name="_Toc16020"/>
      <w:bookmarkStart w:id="93" w:name="_Toc61256696"/>
      <w:r>
        <w:t>（一）经费投入与支出</w:t>
      </w:r>
      <w:bookmarkEnd w:id="92"/>
      <w:bookmarkEnd w:id="93"/>
    </w:p>
    <w:p>
      <w:pPr>
        <w:spacing w:line="300" w:lineRule="auto"/>
        <w:ind w:firstLine="480" w:firstLineChars="200"/>
        <w:rPr>
          <w:rFonts w:ascii="Times New Roman" w:hAnsi="Times New Roman"/>
          <w:color w:val="000000" w:themeColor="text1"/>
          <w:sz w:val="24"/>
          <w:szCs w:val="28"/>
          <w14:textFill>
            <w14:solidFill>
              <w14:schemeClr w14:val="tx1"/>
            </w14:solidFill>
          </w14:textFill>
        </w:rPr>
      </w:pPr>
      <w:r>
        <w:rPr>
          <w:rFonts w:hint="eastAsia" w:ascii="Times New Roman" w:hAnsi="Times New Roman"/>
          <w:color w:val="000000" w:themeColor="text1"/>
          <w:sz w:val="24"/>
          <w:szCs w:val="28"/>
          <w:lang w:val="en-US" w:eastAsia="zh-CN"/>
          <w14:textFill>
            <w14:solidFill>
              <w14:schemeClr w14:val="tx1"/>
            </w14:solidFill>
          </w14:textFill>
        </w:rPr>
        <w:t>2021</w:t>
      </w:r>
      <w:r>
        <w:rPr>
          <w:rFonts w:hint="eastAsia" w:ascii="Times New Roman" w:hAnsi="Times New Roman"/>
          <w:color w:val="000000" w:themeColor="text1"/>
          <w:sz w:val="24"/>
          <w:szCs w:val="28"/>
          <w14:textFill>
            <w14:solidFill>
              <w14:schemeClr w14:val="tx1"/>
            </w14:solidFill>
          </w14:textFill>
        </w:rPr>
        <w:t>年上半年学</w:t>
      </w:r>
      <w:r>
        <w:rPr>
          <w:rFonts w:hint="eastAsia" w:ascii="Times New Roman" w:hAnsi="Times New Roman"/>
          <w:color w:val="000000" w:themeColor="text1"/>
          <w:sz w:val="24"/>
          <w:szCs w:val="28"/>
          <w:lang w:val="en-US" w:eastAsia="zh-CN"/>
          <w14:textFill>
            <w14:solidFill>
              <w14:schemeClr w14:val="tx1"/>
            </w14:solidFill>
          </w14:textFill>
        </w:rPr>
        <w:t>校</w:t>
      </w:r>
      <w:r>
        <w:rPr>
          <w:rFonts w:hint="eastAsia" w:ascii="Times New Roman" w:hAnsi="Times New Roman"/>
          <w:color w:val="000000" w:themeColor="text1"/>
          <w:sz w:val="24"/>
          <w:szCs w:val="28"/>
          <w14:textFill>
            <w14:solidFill>
              <w14:schemeClr w14:val="tx1"/>
            </w14:solidFill>
          </w14:textFill>
        </w:rPr>
        <w:t>资金总量达到4653.85万元，其中教育收费226.28万元；发放中高职学生奖助学金217.35万元；学</w:t>
      </w:r>
      <w:r>
        <w:rPr>
          <w:rFonts w:hint="eastAsia" w:ascii="Times New Roman" w:hAnsi="Times New Roman"/>
          <w:color w:val="000000" w:themeColor="text1"/>
          <w:sz w:val="24"/>
          <w:szCs w:val="28"/>
          <w:lang w:val="en-US" w:eastAsia="zh-CN"/>
          <w14:textFill>
            <w14:solidFill>
              <w14:schemeClr w14:val="tx1"/>
            </w14:solidFill>
          </w14:textFill>
        </w:rPr>
        <w:t>校</w:t>
      </w:r>
      <w:r>
        <w:rPr>
          <w:rFonts w:hint="eastAsia" w:ascii="Times New Roman" w:hAnsi="Times New Roman"/>
          <w:color w:val="000000" w:themeColor="text1"/>
          <w:sz w:val="24"/>
          <w:szCs w:val="28"/>
          <w14:textFill>
            <w14:solidFill>
              <w14:schemeClr w14:val="tx1"/>
            </w14:solidFill>
          </w14:textFill>
        </w:rPr>
        <w:t>各部门公用经费支出677.42万元；职业教育专项资金3173万元，浙江援建非遗馆300万元。</w:t>
      </w:r>
    </w:p>
    <w:p>
      <w:pPr>
        <w:pStyle w:val="5"/>
        <w:rPr>
          <w:rFonts w:ascii="Times New Roman" w:hAnsi="Times New Roman"/>
        </w:rPr>
      </w:pPr>
      <w:bookmarkStart w:id="94" w:name="_Toc24694"/>
      <w:bookmarkStart w:id="95" w:name="_Toc61256697"/>
      <w:r>
        <w:rPr>
          <w:rFonts w:ascii="Times New Roman" w:hAnsi="Times New Roman"/>
        </w:rPr>
        <w:t>（二）政策措施</w:t>
      </w:r>
      <w:bookmarkEnd w:id="94"/>
      <w:bookmarkEnd w:id="95"/>
    </w:p>
    <w:p>
      <w:pPr>
        <w:spacing w:line="300" w:lineRule="auto"/>
        <w:ind w:firstLine="480" w:firstLineChars="200"/>
        <w:rPr>
          <w:rFonts w:ascii="Times New Roman" w:hAnsi="Times New Roman"/>
          <w:sz w:val="24"/>
          <w:szCs w:val="28"/>
        </w:rPr>
      </w:pPr>
      <w:r>
        <w:rPr>
          <w:rFonts w:hint="eastAsia" w:ascii="Times New Roman" w:hAnsi="Times New Roman"/>
          <w:sz w:val="24"/>
          <w:szCs w:val="28"/>
        </w:rPr>
        <w:t>为加快实现学校治理能力现代化，进一步提升学校管理水平，增强学校核心竞争力，</w:t>
      </w:r>
      <w:r>
        <w:rPr>
          <w:rFonts w:ascii="Times New Roman" w:hAnsi="Times New Roman"/>
          <w:sz w:val="24"/>
          <w:szCs w:val="28"/>
        </w:rPr>
        <w:t>青海省政府、海西州政府积极为本地区职业院校的发展提供资金、资源、政策等全方位的支持</w:t>
      </w:r>
      <w:r>
        <w:rPr>
          <w:rFonts w:hint="eastAsia" w:ascii="Times New Roman" w:hAnsi="Times New Roman"/>
          <w:sz w:val="24"/>
          <w:szCs w:val="28"/>
        </w:rPr>
        <w:t>，出台了包括《青海省职业技能提升行动实施方案</w:t>
      </w:r>
      <w:r>
        <w:rPr>
          <w:rFonts w:hint="eastAsia" w:ascii="Times New Roman" w:hAnsi="Times New Roman"/>
          <w:sz w:val="24"/>
          <w:szCs w:val="28"/>
          <w:lang w:eastAsia="zh-CN"/>
        </w:rPr>
        <w:t>（</w:t>
      </w:r>
      <w:r>
        <w:rPr>
          <w:rFonts w:hint="eastAsia" w:ascii="Times New Roman" w:hAnsi="Times New Roman"/>
          <w:sz w:val="24"/>
          <w:szCs w:val="28"/>
        </w:rPr>
        <w:t>2019-2021年</w:t>
      </w:r>
      <w:r>
        <w:rPr>
          <w:rFonts w:hint="eastAsia" w:ascii="Times New Roman" w:hAnsi="Times New Roman"/>
          <w:sz w:val="24"/>
          <w:szCs w:val="28"/>
          <w:lang w:eastAsia="zh-CN"/>
        </w:rPr>
        <w:t>）</w:t>
      </w:r>
      <w:r>
        <w:rPr>
          <w:rFonts w:hint="eastAsia" w:ascii="Times New Roman" w:hAnsi="Times New Roman"/>
          <w:sz w:val="24"/>
          <w:szCs w:val="28"/>
        </w:rPr>
        <w:t>》（青政办〔2019〕107号）等政策文件</w:t>
      </w:r>
      <w:r>
        <w:rPr>
          <w:rFonts w:ascii="Times New Roman" w:hAnsi="Times New Roman"/>
          <w:sz w:val="24"/>
          <w:szCs w:val="28"/>
        </w:rPr>
        <w:t>。近几年青海省、海西州发布的职业教育相关政策</w:t>
      </w:r>
      <w:r>
        <w:rPr>
          <w:rFonts w:hint="eastAsia" w:ascii="Times New Roman" w:hAnsi="Times New Roman"/>
          <w:sz w:val="24"/>
          <w:szCs w:val="28"/>
        </w:rPr>
        <w:t>文件</w:t>
      </w:r>
      <w:r>
        <w:rPr>
          <w:rFonts w:ascii="Times New Roman" w:hAnsi="Times New Roman"/>
          <w:sz w:val="24"/>
          <w:szCs w:val="28"/>
        </w:rPr>
        <w:t>见表6-1。</w:t>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ascii="Times New Roman" w:hAnsi="Times New Roman" w:cs="Times New Roman"/>
          <w:b/>
          <w:color w:val="000000" w:themeColor="text1"/>
          <w:kern w:val="2"/>
          <w:sz w:val="21"/>
          <w:szCs w:val="21"/>
          <w14:textFill>
            <w14:solidFill>
              <w14:schemeClr w14:val="tx1"/>
            </w14:solidFill>
          </w14:textFill>
        </w:rPr>
        <w:t>表6-1  海西州职业教育相关政策文件</w:t>
      </w:r>
    </w:p>
    <w:tbl>
      <w:tblPr>
        <w:tblStyle w:val="17"/>
        <w:tblW w:w="8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9"/>
        <w:gridCol w:w="65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1699" w:type="dxa"/>
            <w:shd w:val="clear" w:color="auto" w:fill="C6D9F0" w:themeFill="text2" w:themeFillTint="33"/>
            <w:vAlign w:val="center"/>
          </w:tcPr>
          <w:p>
            <w:pPr>
              <w:spacing w:afterLines="20"/>
              <w:jc w:val="center"/>
              <w:rPr>
                <w:rFonts w:ascii="Times New Roman" w:hAnsi="Times New Roman"/>
                <w:b/>
                <w:color w:val="000000"/>
                <w:szCs w:val="21"/>
              </w:rPr>
            </w:pPr>
            <w:r>
              <w:rPr>
                <w:rFonts w:ascii="Times New Roman" w:hAnsi="Times New Roman"/>
                <w:b/>
                <w:color w:val="000000"/>
                <w:szCs w:val="21"/>
              </w:rPr>
              <w:t>发文机构</w:t>
            </w:r>
          </w:p>
        </w:tc>
        <w:tc>
          <w:tcPr>
            <w:tcW w:w="6579" w:type="dxa"/>
            <w:shd w:val="clear" w:color="auto" w:fill="C6D9F0" w:themeFill="text2" w:themeFillTint="33"/>
            <w:vAlign w:val="center"/>
          </w:tcPr>
          <w:p>
            <w:pPr>
              <w:spacing w:afterLines="20"/>
              <w:jc w:val="center"/>
              <w:rPr>
                <w:rFonts w:ascii="Times New Roman" w:hAnsi="Times New Roman"/>
                <w:b/>
                <w:color w:val="000000"/>
                <w:szCs w:val="21"/>
              </w:rPr>
            </w:pPr>
            <w:r>
              <w:rPr>
                <w:rFonts w:ascii="Times New Roman" w:hAnsi="Times New Roman"/>
                <w:b/>
                <w:color w:val="000000"/>
                <w:szCs w:val="21"/>
              </w:rPr>
              <w:t>政策文件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99" w:type="dxa"/>
            <w:vMerge w:val="restart"/>
            <w:vAlign w:val="center"/>
          </w:tcPr>
          <w:p>
            <w:pPr>
              <w:spacing w:afterLines="20"/>
              <w:jc w:val="center"/>
              <w:rPr>
                <w:rFonts w:ascii="Times New Roman" w:hAnsi="Times New Roman"/>
                <w:b/>
                <w:color w:val="000000"/>
                <w:szCs w:val="21"/>
              </w:rPr>
            </w:pPr>
            <w:r>
              <w:rPr>
                <w:rFonts w:hint="eastAsia" w:ascii="Times New Roman" w:hAnsi="Times New Roman"/>
                <w:color w:val="000000"/>
                <w:szCs w:val="21"/>
              </w:rPr>
              <w:t>青海省人民政府</w:t>
            </w:r>
          </w:p>
        </w:tc>
        <w:tc>
          <w:tcPr>
            <w:tcW w:w="6579" w:type="dxa"/>
            <w:vAlign w:val="center"/>
          </w:tcPr>
          <w:p>
            <w:pPr>
              <w:spacing w:afterLines="20"/>
              <w:jc w:val="left"/>
              <w:rPr>
                <w:rFonts w:hint="eastAsia" w:ascii="Times New Roman" w:hAnsi="Times New Roman"/>
                <w:color w:val="000000"/>
                <w:szCs w:val="21"/>
              </w:rPr>
            </w:pPr>
            <w:r>
              <w:rPr>
                <w:rFonts w:hint="eastAsia" w:ascii="Times New Roman" w:hAnsi="Times New Roman"/>
                <w:color w:val="000000"/>
                <w:szCs w:val="21"/>
              </w:rPr>
              <w:t>《关于进一步加快现代职业教育改革发展的若干意见》青政</w:t>
            </w:r>
            <w:r>
              <w:rPr>
                <w:rFonts w:hint="eastAsia" w:ascii="Times New Roman" w:hAnsi="Times New Roman"/>
                <w:color w:val="000000"/>
                <w:szCs w:val="21"/>
                <w:lang w:eastAsia="zh-CN"/>
              </w:rPr>
              <w:t>（</w:t>
            </w:r>
            <w:r>
              <w:rPr>
                <w:rFonts w:hint="eastAsia" w:ascii="Times New Roman" w:hAnsi="Times New Roman"/>
                <w:color w:val="000000"/>
                <w:szCs w:val="21"/>
              </w:rPr>
              <w:t>2017</w:t>
            </w:r>
            <w:r>
              <w:rPr>
                <w:rFonts w:hint="eastAsia" w:ascii="Times New Roman" w:hAnsi="Times New Roman"/>
                <w:color w:val="000000"/>
                <w:szCs w:val="21"/>
                <w:lang w:eastAsia="zh-CN"/>
              </w:rPr>
              <w:t>）</w:t>
            </w:r>
            <w:r>
              <w:rPr>
                <w:rFonts w:hint="eastAsia" w:ascii="Times New Roman" w:hAnsi="Times New Roman"/>
                <w:color w:val="000000"/>
                <w:szCs w:val="21"/>
              </w:rPr>
              <w:t>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99" w:type="dxa"/>
            <w:vMerge w:val="continue"/>
            <w:vAlign w:val="center"/>
          </w:tcPr>
          <w:p>
            <w:pPr>
              <w:spacing w:afterLines="20"/>
              <w:jc w:val="center"/>
              <w:rPr>
                <w:rFonts w:ascii="Times New Roman" w:hAnsi="Times New Roman"/>
                <w:b/>
                <w:color w:val="000000"/>
                <w:szCs w:val="21"/>
              </w:rPr>
            </w:pPr>
          </w:p>
        </w:tc>
        <w:tc>
          <w:tcPr>
            <w:tcW w:w="6579" w:type="dxa"/>
            <w:vAlign w:val="center"/>
          </w:tcPr>
          <w:p>
            <w:pPr>
              <w:spacing w:afterLines="20"/>
              <w:jc w:val="left"/>
              <w:rPr>
                <w:rFonts w:ascii="Times New Roman" w:hAnsi="Times New Roman"/>
                <w:color w:val="000000"/>
                <w:szCs w:val="21"/>
              </w:rPr>
            </w:pPr>
            <w:r>
              <w:rPr>
                <w:rFonts w:hint="eastAsia" w:ascii="Times New Roman" w:hAnsi="Times New Roman"/>
                <w:color w:val="000000"/>
                <w:szCs w:val="21"/>
              </w:rPr>
              <w:t>《青海省职业技能提升行动实施方案</w:t>
            </w:r>
            <w:r>
              <w:rPr>
                <w:rFonts w:hint="eastAsia" w:ascii="Times New Roman" w:hAnsi="Times New Roman"/>
                <w:color w:val="000000"/>
                <w:szCs w:val="21"/>
                <w:lang w:eastAsia="zh-CN"/>
              </w:rPr>
              <w:t>（</w:t>
            </w:r>
            <w:r>
              <w:rPr>
                <w:rFonts w:hint="eastAsia" w:ascii="Times New Roman" w:hAnsi="Times New Roman"/>
                <w:color w:val="000000"/>
                <w:szCs w:val="21"/>
              </w:rPr>
              <w:t>2019-2021年</w:t>
            </w:r>
            <w:r>
              <w:rPr>
                <w:rFonts w:hint="eastAsia" w:ascii="Times New Roman" w:hAnsi="Times New Roman"/>
                <w:color w:val="000000"/>
                <w:szCs w:val="21"/>
                <w:lang w:eastAsia="zh-CN"/>
              </w:rPr>
              <w:t>）</w:t>
            </w:r>
            <w:r>
              <w:rPr>
                <w:rFonts w:hint="eastAsia" w:ascii="Times New Roman" w:hAnsi="Times New Roman"/>
                <w:color w:val="000000"/>
                <w:szCs w:val="21"/>
              </w:rPr>
              <w:t>》（青政办〔2019〕107号）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99" w:type="dxa"/>
            <w:vMerge w:val="continue"/>
            <w:vAlign w:val="center"/>
          </w:tcPr>
          <w:p>
            <w:pPr>
              <w:spacing w:afterLines="20"/>
              <w:jc w:val="center"/>
              <w:rPr>
                <w:rFonts w:ascii="Times New Roman" w:hAnsi="Times New Roman"/>
                <w:color w:val="000000"/>
                <w:szCs w:val="21"/>
              </w:rPr>
            </w:pPr>
          </w:p>
        </w:tc>
        <w:tc>
          <w:tcPr>
            <w:tcW w:w="6579" w:type="dxa"/>
            <w:vAlign w:val="center"/>
          </w:tcPr>
          <w:p>
            <w:pPr>
              <w:spacing w:afterLines="20"/>
              <w:jc w:val="left"/>
              <w:rPr>
                <w:rFonts w:ascii="Times New Roman" w:hAnsi="Times New Roman"/>
                <w:color w:val="000000"/>
                <w:szCs w:val="21"/>
              </w:rPr>
            </w:pPr>
            <w:r>
              <w:rPr>
                <w:rFonts w:hint="eastAsia" w:ascii="Times New Roman" w:hAnsi="Times New Roman"/>
                <w:color w:val="000000"/>
                <w:szCs w:val="21"/>
              </w:rPr>
              <w:t>《关于印发青海省贯彻落实</w:t>
            </w:r>
            <w:r>
              <w:rPr>
                <w:rFonts w:hint="eastAsia" w:ascii="Times New Roman" w:hAnsi="Times New Roman"/>
                <w:color w:val="000000"/>
                <w:szCs w:val="21"/>
                <w:lang w:eastAsia="zh-CN"/>
              </w:rPr>
              <w:t>〈</w:t>
            </w:r>
            <w:r>
              <w:rPr>
                <w:rFonts w:hint="eastAsia" w:ascii="Times New Roman" w:hAnsi="Times New Roman"/>
                <w:color w:val="000000"/>
                <w:szCs w:val="21"/>
              </w:rPr>
              <w:t>国家职业教育改革实施方案</w:t>
            </w:r>
            <w:r>
              <w:rPr>
                <w:rFonts w:hint="eastAsia" w:ascii="Times New Roman" w:hAnsi="Times New Roman"/>
                <w:color w:val="000000"/>
                <w:szCs w:val="21"/>
                <w:lang w:eastAsia="zh-CN"/>
              </w:rPr>
              <w:t>〉</w:t>
            </w:r>
            <w:r>
              <w:rPr>
                <w:rFonts w:hint="eastAsia" w:ascii="Times New Roman" w:hAnsi="Times New Roman"/>
                <w:color w:val="000000"/>
                <w:szCs w:val="21"/>
              </w:rPr>
              <w:t>若干措施的通知》（青政〔2019〕34号）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99" w:type="dxa"/>
            <w:vMerge w:val="continue"/>
            <w:vAlign w:val="center"/>
          </w:tcPr>
          <w:p>
            <w:pPr>
              <w:spacing w:afterLines="20"/>
              <w:jc w:val="center"/>
              <w:rPr>
                <w:rFonts w:ascii="Times New Roman" w:hAnsi="Times New Roman"/>
                <w:color w:val="000000"/>
                <w:szCs w:val="21"/>
              </w:rPr>
            </w:pPr>
          </w:p>
        </w:tc>
        <w:tc>
          <w:tcPr>
            <w:tcW w:w="6579" w:type="dxa"/>
            <w:vAlign w:val="center"/>
          </w:tcPr>
          <w:p>
            <w:pPr>
              <w:spacing w:afterLines="20"/>
              <w:jc w:val="left"/>
              <w:rPr>
                <w:rFonts w:ascii="Times New Roman" w:hAnsi="Times New Roman"/>
                <w:color w:val="000000"/>
                <w:szCs w:val="21"/>
              </w:rPr>
            </w:pPr>
            <w:r>
              <w:rPr>
                <w:rFonts w:hint="eastAsia" w:ascii="Times New Roman" w:hAnsi="Times New Roman"/>
                <w:color w:val="000000"/>
                <w:szCs w:val="21"/>
              </w:rPr>
              <w:t>《青海省人民政府办公厅关于深化产教融合的实施意见》（青政办〔2018〕160号）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99" w:type="dxa"/>
            <w:vMerge w:val="restart"/>
            <w:vAlign w:val="center"/>
          </w:tcPr>
          <w:p>
            <w:pPr>
              <w:spacing w:afterLines="20"/>
              <w:jc w:val="center"/>
              <w:rPr>
                <w:rFonts w:ascii="Times New Roman" w:hAnsi="Times New Roman"/>
                <w:color w:val="000000"/>
                <w:szCs w:val="21"/>
              </w:rPr>
            </w:pPr>
            <w:r>
              <w:rPr>
                <w:rFonts w:ascii="Times New Roman" w:hAnsi="Times New Roman"/>
                <w:color w:val="000000"/>
                <w:szCs w:val="21"/>
              </w:rPr>
              <w:t>青海省教育厅</w:t>
            </w:r>
          </w:p>
        </w:tc>
        <w:tc>
          <w:tcPr>
            <w:tcW w:w="6579" w:type="dxa"/>
            <w:vAlign w:val="center"/>
          </w:tcPr>
          <w:p>
            <w:pPr>
              <w:spacing w:afterLines="20"/>
              <w:jc w:val="left"/>
              <w:rPr>
                <w:rFonts w:ascii="Times New Roman" w:hAnsi="Times New Roman"/>
                <w:color w:val="000000"/>
                <w:szCs w:val="21"/>
              </w:rPr>
            </w:pPr>
            <w:r>
              <w:rPr>
                <w:rFonts w:ascii="Times New Roman" w:hAnsi="Times New Roman"/>
                <w:color w:val="000000"/>
                <w:szCs w:val="21"/>
              </w:rPr>
              <w:t>《关于举办2018年全民终身学习活动周的通知》（青教职〔2018〕42号）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99" w:type="dxa"/>
            <w:vMerge w:val="continue"/>
            <w:vAlign w:val="center"/>
          </w:tcPr>
          <w:p>
            <w:pPr>
              <w:spacing w:afterLines="20"/>
              <w:jc w:val="center"/>
              <w:rPr>
                <w:rFonts w:ascii="Times New Roman" w:hAnsi="Times New Roman"/>
                <w:color w:val="000000"/>
                <w:szCs w:val="21"/>
              </w:rPr>
            </w:pPr>
          </w:p>
        </w:tc>
        <w:tc>
          <w:tcPr>
            <w:tcW w:w="6579" w:type="dxa"/>
            <w:vAlign w:val="center"/>
          </w:tcPr>
          <w:p>
            <w:pPr>
              <w:spacing w:afterLines="20"/>
              <w:jc w:val="left"/>
              <w:rPr>
                <w:rFonts w:ascii="Times New Roman" w:hAnsi="Times New Roman"/>
                <w:color w:val="000000"/>
                <w:szCs w:val="21"/>
              </w:rPr>
            </w:pPr>
            <w:r>
              <w:rPr>
                <w:rFonts w:ascii="Times New Roman" w:hAnsi="Times New Roman"/>
                <w:color w:val="000000"/>
                <w:szCs w:val="21"/>
              </w:rPr>
              <w:t>《关于进一步做好2018年教育发展目标责任落实工作的通知》（青教规〔2018〕97号）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99" w:type="dxa"/>
            <w:vMerge w:val="restart"/>
            <w:vAlign w:val="center"/>
          </w:tcPr>
          <w:p>
            <w:pPr>
              <w:spacing w:afterLines="20"/>
              <w:jc w:val="center"/>
              <w:rPr>
                <w:rFonts w:ascii="Times New Roman" w:hAnsi="Times New Roman"/>
                <w:color w:val="000000"/>
                <w:szCs w:val="21"/>
              </w:rPr>
            </w:pPr>
            <w:r>
              <w:rPr>
                <w:rFonts w:ascii="Times New Roman" w:hAnsi="Times New Roman"/>
                <w:color w:val="000000"/>
                <w:szCs w:val="21"/>
              </w:rPr>
              <w:t>海西州教育局</w:t>
            </w:r>
          </w:p>
        </w:tc>
        <w:tc>
          <w:tcPr>
            <w:tcW w:w="6579" w:type="dxa"/>
            <w:vAlign w:val="center"/>
          </w:tcPr>
          <w:p>
            <w:pPr>
              <w:spacing w:afterLines="20"/>
              <w:jc w:val="left"/>
              <w:rPr>
                <w:rFonts w:ascii="Times New Roman" w:hAnsi="Times New Roman"/>
                <w:color w:val="000000"/>
                <w:szCs w:val="21"/>
              </w:rPr>
            </w:pPr>
            <w:r>
              <w:rPr>
                <w:rFonts w:ascii="Times New Roman" w:hAnsi="Times New Roman"/>
                <w:color w:val="000000"/>
                <w:szCs w:val="21"/>
              </w:rPr>
              <w:t>《关于进一步加强教育新闻宣传和信息工作实施方案》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99" w:type="dxa"/>
            <w:vMerge w:val="continue"/>
            <w:vAlign w:val="center"/>
          </w:tcPr>
          <w:p>
            <w:pPr>
              <w:spacing w:afterLines="20"/>
              <w:jc w:val="center"/>
              <w:rPr>
                <w:rFonts w:ascii="Times New Roman" w:hAnsi="Times New Roman"/>
                <w:color w:val="000000"/>
                <w:szCs w:val="21"/>
              </w:rPr>
            </w:pPr>
          </w:p>
        </w:tc>
        <w:tc>
          <w:tcPr>
            <w:tcW w:w="6579" w:type="dxa"/>
            <w:vAlign w:val="center"/>
          </w:tcPr>
          <w:p>
            <w:pPr>
              <w:spacing w:afterLines="20"/>
              <w:jc w:val="left"/>
              <w:rPr>
                <w:rFonts w:ascii="Times New Roman" w:hAnsi="Times New Roman"/>
                <w:color w:val="000000"/>
                <w:szCs w:val="21"/>
              </w:rPr>
            </w:pPr>
            <w:r>
              <w:rPr>
                <w:rFonts w:ascii="Times New Roman" w:hAnsi="Times New Roman"/>
                <w:color w:val="000000"/>
                <w:szCs w:val="21"/>
              </w:rPr>
              <w:t>《海西州中小学校（职业学校）教师资格过渡认定实施方案》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99" w:type="dxa"/>
            <w:vMerge w:val="continue"/>
            <w:vAlign w:val="center"/>
          </w:tcPr>
          <w:p>
            <w:pPr>
              <w:spacing w:afterLines="20"/>
              <w:jc w:val="center"/>
              <w:rPr>
                <w:rFonts w:ascii="Times New Roman" w:hAnsi="Times New Roman"/>
                <w:color w:val="000000"/>
                <w:szCs w:val="21"/>
              </w:rPr>
            </w:pPr>
          </w:p>
        </w:tc>
        <w:tc>
          <w:tcPr>
            <w:tcW w:w="6579" w:type="dxa"/>
            <w:vAlign w:val="center"/>
          </w:tcPr>
          <w:p>
            <w:pPr>
              <w:spacing w:afterLines="20"/>
              <w:jc w:val="left"/>
              <w:rPr>
                <w:rFonts w:ascii="Times New Roman" w:hAnsi="Times New Roman"/>
                <w:color w:val="000000"/>
                <w:szCs w:val="21"/>
              </w:rPr>
            </w:pPr>
            <w:r>
              <w:rPr>
                <w:rFonts w:ascii="Times New Roman" w:hAnsi="Times New Roman"/>
                <w:color w:val="000000"/>
                <w:szCs w:val="21"/>
              </w:rPr>
              <w:t>《海西州财政局关于下达2018年第一批援建项目支出预算的通知》（西政财建字〔2018〕471号）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699" w:type="dxa"/>
            <w:vMerge w:val="continue"/>
            <w:vAlign w:val="center"/>
          </w:tcPr>
          <w:p>
            <w:pPr>
              <w:spacing w:afterLines="20"/>
              <w:jc w:val="center"/>
              <w:rPr>
                <w:rFonts w:ascii="Times New Roman" w:hAnsi="Times New Roman"/>
                <w:color w:val="000000"/>
                <w:szCs w:val="21"/>
              </w:rPr>
            </w:pPr>
          </w:p>
        </w:tc>
        <w:tc>
          <w:tcPr>
            <w:tcW w:w="6579" w:type="dxa"/>
            <w:vAlign w:val="center"/>
          </w:tcPr>
          <w:p>
            <w:pPr>
              <w:spacing w:afterLines="20"/>
              <w:jc w:val="left"/>
              <w:rPr>
                <w:rFonts w:ascii="Times New Roman" w:hAnsi="Times New Roman"/>
                <w:color w:val="000000"/>
                <w:szCs w:val="21"/>
              </w:rPr>
            </w:pPr>
            <w:r>
              <w:rPr>
                <w:rFonts w:hint="eastAsia" w:ascii="Times New Roman" w:hAnsi="Times New Roman"/>
                <w:color w:val="000000"/>
                <w:szCs w:val="21"/>
              </w:rPr>
              <w:t>《</w:t>
            </w:r>
            <w:r>
              <w:rPr>
                <w:rFonts w:ascii="Times New Roman" w:hAnsi="Times New Roman"/>
                <w:color w:val="000000"/>
                <w:szCs w:val="21"/>
              </w:rPr>
              <w:t>海西州教育局关于做好全州校园绿化工作的通知</w:t>
            </w:r>
            <w:r>
              <w:rPr>
                <w:rFonts w:hint="eastAsia" w:ascii="Times New Roman" w:hAnsi="Times New Roman"/>
                <w:color w:val="000000"/>
                <w:szCs w:val="21"/>
              </w:rPr>
              <w:t>》</w:t>
            </w:r>
            <w:r>
              <w:rPr>
                <w:rFonts w:ascii="Times New Roman" w:hAnsi="Times New Roman"/>
                <w:color w:val="000000"/>
                <w:szCs w:val="21"/>
              </w:rPr>
              <w:t>（西教字〔2018〕232号）</w:t>
            </w:r>
          </w:p>
        </w:tc>
      </w:tr>
    </w:tbl>
    <w:p>
      <w:pPr>
        <w:pStyle w:val="4"/>
        <w:spacing w:before="312" w:after="156"/>
        <w:rPr>
          <w:rFonts w:ascii="Times New Roman" w:hAnsi="Times New Roman"/>
        </w:rPr>
      </w:pPr>
      <w:bookmarkStart w:id="96" w:name="_Toc61256698"/>
      <w:bookmarkStart w:id="97" w:name="_Toc26832"/>
      <w:r>
        <w:rPr>
          <w:rFonts w:ascii="Times New Roman" w:hAnsi="Times New Roman"/>
        </w:rPr>
        <w:t>七、特色创新</w:t>
      </w:r>
      <w:bookmarkEnd w:id="96"/>
      <w:bookmarkEnd w:id="97"/>
    </w:p>
    <w:p>
      <w:pPr>
        <w:keepNext w:val="0"/>
        <w:keepLines w:val="0"/>
        <w:pageBreakBefore w:val="0"/>
        <w:widowControl w:val="0"/>
        <w:kinsoku/>
        <w:wordWrap/>
        <w:overflowPunct/>
        <w:topLinePunct w:val="0"/>
        <w:autoSpaceDE/>
        <w:autoSpaceDN/>
        <w:bidi w:val="0"/>
        <w:adjustRightInd w:val="0"/>
        <w:snapToGrid w:val="0"/>
        <w:spacing w:line="360" w:lineRule="auto"/>
        <w:ind w:firstLine="602" w:firstLineChars="200"/>
        <w:jc w:val="both"/>
        <w:textAlignment w:val="auto"/>
        <w:outlineLvl w:val="1"/>
        <w:rPr>
          <w:rFonts w:hint="eastAsia" w:ascii="黑体" w:hAnsi="黑体" w:eastAsia="黑体" w:cs="黑体"/>
          <w:sz w:val="28"/>
          <w:szCs w:val="28"/>
          <w:lang w:val="en-US" w:eastAsia="zh-CN"/>
        </w:rPr>
      </w:pPr>
      <w:bookmarkStart w:id="98" w:name="_Toc28913"/>
      <w:bookmarkStart w:id="99" w:name="_Toc13101"/>
      <w:r>
        <w:rPr>
          <w:rFonts w:hint="default" w:ascii="Times New Roman" w:hAnsi="Times New Roman" w:eastAsia="宋体" w:cs="Times New Roman"/>
          <w:b/>
          <w:bCs/>
          <w:color w:val="0070C0"/>
          <w:sz w:val="30"/>
          <w:szCs w:val="32"/>
          <w:lang w:val="en-US" w:eastAsia="zh-CN"/>
        </w:rPr>
        <w:t>【案例一】校企合作双师育人，打造护理品牌专业</w:t>
      </w:r>
      <w:bookmarkEnd w:id="98"/>
      <w:bookmarkEnd w:id="99"/>
    </w:p>
    <w:p>
      <w:pPr>
        <w:keepNext w:val="0"/>
        <w:keepLines w:val="0"/>
        <w:pageBreakBefore w:val="0"/>
        <w:widowControl/>
        <w:kinsoku/>
        <w:wordWrap/>
        <w:overflowPunct/>
        <w:topLinePunct w:val="0"/>
        <w:autoSpaceDE/>
        <w:autoSpaceDN/>
        <w:bidi w:val="0"/>
        <w:adjustRightInd/>
        <w:snapToGrid/>
        <w:spacing w:line="300" w:lineRule="auto"/>
        <w:ind w:firstLine="480" w:firstLineChars="200"/>
        <w:textAlignment w:val="auto"/>
        <w:rPr>
          <w:rFonts w:hint="eastAsia" w:ascii="Times New Roman" w:hAnsi="Times New Roman" w:eastAsia="宋体" w:cs="Times New Roman"/>
          <w:color w:val="auto"/>
          <w:sz w:val="24"/>
          <w:szCs w:val="28"/>
          <w:lang w:eastAsia="zh-CN"/>
        </w:rPr>
      </w:pPr>
      <w:r>
        <w:rPr>
          <w:rFonts w:hint="eastAsia" w:ascii="Times New Roman" w:hAnsi="Times New Roman" w:eastAsia="宋体" w:cs="Times New Roman"/>
          <w:sz w:val="24"/>
          <w:szCs w:val="28"/>
        </w:rPr>
        <w:t>针对护理人才培养需求，学校与海西州人民医院、格尔木市人民医院等4家医院签订现代学徒制护理人才培养合作协议，开展护理专业国家现代学徒制试点，明确校企双方职责、分工，推进校企紧密合作、协同育人。校企共同制定实施校企联合招生、分段育人、多方参与评价的双主体育人机制，形成学校与医院联合开展现代学徒制的长效机制。医院各科专家护师参与护理专业人才培养方案修订，共同参与实训教学、专业教师业务培训等工作。建立了教师工作站，使青年教师定期进驻工作站，保证教师传授的知识、技能与临床实践同步；实现了师资互聘，人才共育，解决医院人才需求，提高学校实践教学水平，使学生真正学到了来自临床一线的实用技术。</w:t>
      </w:r>
    </w:p>
    <w:p>
      <w:pPr>
        <w:pStyle w:val="2"/>
        <w:rPr>
          <w:rFonts w:hint="eastAsia"/>
          <w:lang w:eastAsia="zh-CN"/>
        </w:rPr>
      </w:pP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lang w:val="en-US" w:eastAsia="zh-CN"/>
        </w:rPr>
      </w:pPr>
      <w:r>
        <w:rPr>
          <w:rFonts w:hint="eastAsia"/>
          <w:lang w:val="en-US" w:eastAsia="zh-CN"/>
        </w:rPr>
        <w:drawing>
          <wp:inline distT="0" distB="0" distL="114300" distR="114300">
            <wp:extent cx="3368040" cy="2344420"/>
            <wp:effectExtent l="0" t="0" r="3810" b="17780"/>
            <wp:docPr id="50" name="图片 50" descr="789135404317D917B772B8EB6165DE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789135404317D917B772B8EB6165DEE6"/>
                    <pic:cNvPicPr>
                      <a:picLocks noChangeAspect="1"/>
                    </pic:cNvPicPr>
                  </pic:nvPicPr>
                  <pic:blipFill>
                    <a:blip r:embed="rId43"/>
                    <a:stretch>
                      <a:fillRect/>
                    </a:stretch>
                  </pic:blipFill>
                  <pic:spPr>
                    <a:xfrm>
                      <a:off x="0" y="0"/>
                      <a:ext cx="3368040" cy="2344420"/>
                    </a:xfrm>
                    <a:prstGeom prst="rect">
                      <a:avLst/>
                    </a:prstGeom>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pPr>
      <w:r>
        <w:rPr>
          <w:rFonts w:hint="eastAsia" w:ascii="Times New Roman" w:hAnsi="Times New Roman" w:cs="Times New Roman"/>
          <w:b/>
          <w:color w:val="000000" w:themeColor="text1"/>
          <w:sz w:val="21"/>
          <w:szCs w:val="21"/>
          <w:lang w:val="en-US" w:eastAsia="zh-CN"/>
          <w14:textFill>
            <w14:solidFill>
              <w14:schemeClr w14:val="tx1"/>
            </w14:solidFill>
          </w14:textFill>
        </w:rPr>
        <w:t xml:space="preserve">图7-1  </w:t>
      </w:r>
      <w:r>
        <w:rPr>
          <w:rFonts w:hint="default" w:ascii="Times New Roman" w:hAnsi="Times New Roman" w:eastAsia="宋体" w:cs="Times New Roman"/>
          <w:b/>
          <w:color w:val="000000" w:themeColor="text1"/>
          <w:sz w:val="21"/>
          <w:szCs w:val="21"/>
          <w:highlight w:val="none"/>
          <w:lang w:val="en-US" w:eastAsia="zh-CN"/>
          <w14:textFill>
            <w14:solidFill>
              <w14:schemeClr w14:val="tx1"/>
            </w14:solidFill>
          </w14:textFill>
        </w:rPr>
        <w:t>学生在海西州人民医院学生见习</w:t>
      </w:r>
    </w:p>
    <w:p>
      <w:pPr>
        <w:keepNext w:val="0"/>
        <w:keepLines w:val="0"/>
        <w:pageBreakBefore w:val="0"/>
        <w:widowControl/>
        <w:kinsoku/>
        <w:wordWrap/>
        <w:overflowPunct/>
        <w:topLinePunct w:val="0"/>
        <w:autoSpaceDE/>
        <w:autoSpaceDN/>
        <w:bidi w:val="0"/>
        <w:adjustRightInd/>
        <w:snapToGrid/>
        <w:spacing w:line="240" w:lineRule="auto"/>
        <w:jc w:val="left"/>
        <w:textAlignment w:val="auto"/>
        <w:outlineLvl w:val="9"/>
        <w:rPr>
          <w:rFonts w:hint="eastAsia"/>
          <w:lang w:val="en-US" w:eastAsia="zh-CN"/>
        </w:rPr>
      </w:pPr>
      <w:bookmarkStart w:id="100" w:name="_Toc14766"/>
    </w:p>
    <w:p>
      <w:pPr>
        <w:keepNext w:val="0"/>
        <w:keepLines w:val="0"/>
        <w:pageBreakBefore w:val="0"/>
        <w:widowControl w:val="0"/>
        <w:kinsoku/>
        <w:wordWrap/>
        <w:overflowPunct/>
        <w:topLinePunct w:val="0"/>
        <w:autoSpaceDE/>
        <w:autoSpaceDN/>
        <w:bidi w:val="0"/>
        <w:adjustRightInd w:val="0"/>
        <w:snapToGrid w:val="0"/>
        <w:spacing w:line="360" w:lineRule="auto"/>
        <w:ind w:firstLine="602" w:firstLineChars="200"/>
        <w:jc w:val="left"/>
        <w:textAlignment w:val="auto"/>
        <w:outlineLvl w:val="1"/>
        <w:rPr>
          <w:rFonts w:hint="default" w:ascii="Calibri Light" w:hAnsi="Calibri Light" w:eastAsia="宋体" w:cs="Times New Roman"/>
          <w:b/>
          <w:bCs/>
          <w:color w:val="0070C0"/>
          <w:sz w:val="30"/>
          <w:szCs w:val="32"/>
        </w:rPr>
      </w:pPr>
      <w:bookmarkStart w:id="101" w:name="_Toc29559"/>
      <w:r>
        <w:rPr>
          <w:rFonts w:hint="default" w:ascii="Calibri Light" w:hAnsi="Calibri Light" w:eastAsia="宋体" w:cs="Times New Roman"/>
          <w:b/>
          <w:bCs/>
          <w:color w:val="0070C0"/>
          <w:sz w:val="30"/>
          <w:szCs w:val="32"/>
          <w:lang w:val="en-US" w:eastAsia="zh-CN"/>
        </w:rPr>
        <w:t>【案例二】理实一体化教师能力精准提升模式</w:t>
      </w:r>
      <w:bookmarkEnd w:id="100"/>
      <w:bookmarkEnd w:id="101"/>
    </w:p>
    <w:p>
      <w:pPr>
        <w:keepNext w:val="0"/>
        <w:keepLines w:val="0"/>
        <w:pageBreakBefore w:val="0"/>
        <w:widowControl/>
        <w:kinsoku/>
        <w:wordWrap/>
        <w:overflowPunct/>
        <w:topLinePunct w:val="0"/>
        <w:autoSpaceDE/>
        <w:autoSpaceDN/>
        <w:bidi w:val="0"/>
        <w:adjustRightInd/>
        <w:snapToGrid/>
        <w:spacing w:line="300" w:lineRule="auto"/>
        <w:ind w:firstLine="480" w:firstLineChars="200"/>
        <w:textAlignment w:val="auto"/>
        <w:rPr>
          <w:rFonts w:hint="eastAsia" w:ascii="Times New Roman" w:hAnsi="Times New Roman" w:eastAsia="宋体" w:cs="Times New Roman"/>
          <w:color w:val="auto"/>
          <w:sz w:val="24"/>
          <w:szCs w:val="28"/>
          <w:lang w:eastAsia="zh-CN"/>
        </w:rPr>
      </w:pPr>
      <w:r>
        <w:rPr>
          <w:rFonts w:hint="eastAsia" w:ascii="Times New Roman" w:hAnsi="Times New Roman" w:eastAsia="宋体" w:cs="Times New Roman"/>
          <w:sz w:val="24"/>
          <w:szCs w:val="28"/>
        </w:rPr>
        <w:t>结合海西“依矿而居、布局分散、产业多元”产业体系</w:t>
      </w:r>
      <w:r>
        <w:rPr>
          <w:rFonts w:hint="eastAsia" w:ascii="Times New Roman" w:hAnsi="Times New Roman" w:eastAsia="宋体" w:cs="Times New Roman"/>
          <w:sz w:val="24"/>
          <w:szCs w:val="28"/>
          <w:lang w:val="en-US" w:eastAsia="zh-CN"/>
        </w:rPr>
        <w:t>结构特征</w:t>
      </w:r>
      <w:r>
        <w:rPr>
          <w:rFonts w:hint="eastAsia" w:ascii="Times New Roman" w:hAnsi="Times New Roman" w:eastAsia="宋体" w:cs="Times New Roman"/>
          <w:sz w:val="24"/>
          <w:szCs w:val="28"/>
        </w:rPr>
        <w:t>，机电工程系协同企业、政府与援青院校</w:t>
      </w:r>
      <w:r>
        <w:rPr>
          <w:rFonts w:hint="eastAsia" w:ascii="Times New Roman" w:hAnsi="Times New Roman" w:eastAsia="宋体" w:cs="Times New Roman"/>
          <w:sz w:val="24"/>
          <w:szCs w:val="28"/>
          <w:lang w:eastAsia="zh-CN"/>
        </w:rPr>
        <w:t>“</w:t>
      </w:r>
      <w:r>
        <w:rPr>
          <w:rFonts w:hint="eastAsia" w:ascii="Times New Roman" w:hAnsi="Times New Roman" w:eastAsia="宋体" w:cs="Times New Roman"/>
          <w:sz w:val="24"/>
          <w:szCs w:val="28"/>
        </w:rPr>
        <w:t>四方联动</w:t>
      </w:r>
      <w:r>
        <w:rPr>
          <w:rFonts w:hint="eastAsia" w:ascii="Times New Roman" w:hAnsi="Times New Roman" w:eastAsia="宋体" w:cs="Times New Roman"/>
          <w:sz w:val="24"/>
          <w:szCs w:val="28"/>
          <w:lang w:eastAsia="zh-CN"/>
        </w:rPr>
        <w:t>”</w:t>
      </w:r>
      <w:r>
        <w:rPr>
          <w:rFonts w:hint="eastAsia" w:ascii="Times New Roman" w:hAnsi="Times New Roman" w:eastAsia="宋体" w:cs="Times New Roman"/>
          <w:sz w:val="24"/>
          <w:szCs w:val="28"/>
        </w:rPr>
        <w:t>，</w:t>
      </w:r>
      <w:r>
        <w:rPr>
          <w:rFonts w:hint="eastAsia" w:ascii="Times New Roman" w:hAnsi="Times New Roman" w:eastAsia="宋体" w:cs="Times New Roman"/>
          <w:sz w:val="24"/>
          <w:szCs w:val="28"/>
          <w:lang w:val="en-US" w:eastAsia="zh-CN"/>
        </w:rPr>
        <w:t>以学生为中心</w:t>
      </w:r>
      <w:r>
        <w:rPr>
          <w:rFonts w:hint="eastAsia" w:ascii="Times New Roman" w:hAnsi="Times New Roman" w:eastAsia="宋体" w:cs="Times New Roman"/>
          <w:sz w:val="24"/>
          <w:szCs w:val="28"/>
        </w:rPr>
        <w:t>，围绕专业能力、实践能力、科研能力、创新能力四个维度，紧扣教学环节、实践环节、科研环节、专创环节四个环节，融入X技能的职业技能模块课程。以“培养方案优化、课程项目化设计、学期项目实施、课堂教学改革、社团创新活动、技能大赛训练”六环节为抓手，校内校外、课内课外、能力素质相结合，构建“多维度、多元化”评价与激励机制，实现</w:t>
      </w:r>
      <w:r>
        <w:rPr>
          <w:rFonts w:hint="eastAsia" w:ascii="Times New Roman" w:hAnsi="Times New Roman" w:eastAsia="宋体" w:cs="Times New Roman"/>
          <w:sz w:val="24"/>
          <w:szCs w:val="28"/>
          <w:lang w:val="en-US" w:eastAsia="zh-CN"/>
        </w:rPr>
        <w:t>了</w:t>
      </w:r>
      <w:r>
        <w:rPr>
          <w:rFonts w:hint="eastAsia" w:ascii="Times New Roman" w:hAnsi="Times New Roman" w:eastAsia="宋体" w:cs="Times New Roman"/>
          <w:sz w:val="24"/>
          <w:szCs w:val="28"/>
        </w:rPr>
        <w:t>智能制造控制技术技能人才的精准培养，构建了</w:t>
      </w:r>
      <w:r>
        <w:rPr>
          <w:rFonts w:hint="eastAsia" w:ascii="Times New Roman" w:hAnsi="Times New Roman" w:eastAsia="宋体" w:cs="Times New Roman"/>
          <w:sz w:val="24"/>
          <w:szCs w:val="28"/>
          <w:lang w:eastAsia="zh-CN"/>
        </w:rPr>
        <w:t>“</w:t>
      </w:r>
      <w:r>
        <w:rPr>
          <w:rFonts w:hint="eastAsia" w:ascii="Times New Roman" w:hAnsi="Times New Roman" w:eastAsia="宋体" w:cs="Times New Roman"/>
          <w:sz w:val="24"/>
          <w:szCs w:val="28"/>
          <w:lang w:val="en-US" w:eastAsia="zh-CN"/>
        </w:rPr>
        <w:t>四联动、四角度、四循环</w:t>
      </w:r>
      <w:r>
        <w:rPr>
          <w:rFonts w:hint="eastAsia" w:ascii="Times New Roman" w:hAnsi="Times New Roman" w:eastAsia="宋体" w:cs="Times New Roman"/>
          <w:sz w:val="24"/>
          <w:szCs w:val="28"/>
          <w:lang w:eastAsia="zh-CN"/>
        </w:rPr>
        <w:t>”</w:t>
      </w:r>
      <w:r>
        <w:rPr>
          <w:rFonts w:hint="eastAsia" w:ascii="Times New Roman" w:hAnsi="Times New Roman" w:eastAsia="宋体" w:cs="Times New Roman"/>
          <w:sz w:val="24"/>
          <w:szCs w:val="28"/>
        </w:rPr>
        <w:t>人才培养模式，实现</w:t>
      </w:r>
      <w:r>
        <w:rPr>
          <w:rFonts w:hint="eastAsia" w:ascii="Times New Roman" w:hAnsi="Times New Roman" w:eastAsia="宋体" w:cs="Times New Roman"/>
          <w:sz w:val="24"/>
          <w:szCs w:val="28"/>
          <w:lang w:val="en-US" w:eastAsia="zh-CN"/>
        </w:rPr>
        <w:t>了</w:t>
      </w:r>
      <w:r>
        <w:rPr>
          <w:rFonts w:hint="eastAsia" w:ascii="Times New Roman" w:hAnsi="Times New Roman" w:eastAsia="宋体" w:cs="Times New Roman"/>
          <w:sz w:val="24"/>
          <w:szCs w:val="28"/>
        </w:rPr>
        <w:t>全方位育人格局，精准服务青海区域特色经济需求和产业链发展需求。</w:t>
      </w:r>
    </w:p>
    <w:p>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黑体" w:hAnsi="黑体" w:eastAsia="黑体" w:cs="黑体"/>
          <w:sz w:val="21"/>
          <w:szCs w:val="21"/>
          <w:lang w:val="en-US" w:eastAsia="zh-CN"/>
        </w:rPr>
      </w:pPr>
      <w:r>
        <w:rPr>
          <w:rFonts w:hint="eastAsia" w:ascii="仿宋" w:hAnsi="仿宋" w:eastAsia="仿宋" w:cs="仿宋"/>
          <w:sz w:val="32"/>
          <w:szCs w:val="32"/>
        </w:rPr>
        <w:drawing>
          <wp:inline distT="0" distB="0" distL="114300" distR="114300">
            <wp:extent cx="4784090" cy="2026285"/>
            <wp:effectExtent l="0" t="0" r="16510" b="12065"/>
            <wp:docPr id="52" name="图片 5" descr="四联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 descr="四联动"/>
                    <pic:cNvPicPr>
                      <a:picLocks noChangeAspect="1"/>
                    </pic:cNvPicPr>
                  </pic:nvPicPr>
                  <pic:blipFill>
                    <a:blip r:embed="rId44"/>
                    <a:stretch>
                      <a:fillRect/>
                    </a:stretch>
                  </pic:blipFill>
                  <pic:spPr>
                    <a:xfrm>
                      <a:off x="0" y="0"/>
                      <a:ext cx="4784090" cy="2026285"/>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Times New Roman" w:hAnsi="Times New Roman" w:eastAsia="宋体" w:cs="Times New Roman"/>
          <w:b/>
          <w:color w:val="000000" w:themeColor="text1"/>
          <w:sz w:val="21"/>
          <w:szCs w:val="21"/>
          <w:lang w:val="en-US" w:eastAsia="zh-CN"/>
          <w14:textFill>
            <w14:solidFill>
              <w14:schemeClr w14:val="tx1"/>
            </w14:solidFill>
          </w14:textFill>
        </w:rPr>
      </w:pPr>
      <w:r>
        <w:rPr>
          <w:rFonts w:hint="eastAsia" w:ascii="Times New Roman" w:hAnsi="Times New Roman" w:cs="Times New Roman"/>
          <w:b/>
          <w:color w:val="000000" w:themeColor="text1"/>
          <w:sz w:val="21"/>
          <w:szCs w:val="21"/>
          <w:lang w:val="en-US" w:eastAsia="zh-CN"/>
          <w14:textFill>
            <w14:solidFill>
              <w14:schemeClr w14:val="tx1"/>
            </w14:solidFill>
          </w14:textFill>
        </w:rPr>
        <w:t xml:space="preserve">图7-2  </w:t>
      </w:r>
      <w:r>
        <w:rPr>
          <w:rFonts w:hint="default" w:ascii="Times New Roman" w:hAnsi="Times New Roman" w:eastAsia="宋体" w:cs="Times New Roman"/>
          <w:b/>
          <w:color w:val="000000" w:themeColor="text1"/>
          <w:sz w:val="21"/>
          <w:szCs w:val="21"/>
          <w:lang w:val="en-US" w:eastAsia="zh-CN"/>
          <w14:textFill>
            <w14:solidFill>
              <w14:schemeClr w14:val="tx1"/>
            </w14:solidFill>
          </w14:textFill>
        </w:rPr>
        <w:t>“四联动、四角度、四循环”机电专业人才培养模式</w:t>
      </w:r>
    </w:p>
    <w:p>
      <w:pPr>
        <w:spacing w:line="300" w:lineRule="auto"/>
        <w:ind w:firstLine="480" w:firstLineChars="200"/>
        <w:rPr>
          <w:rFonts w:hint="eastAsia" w:ascii="Times New Roman" w:hAnsi="Times New Roman"/>
          <w:sz w:val="24"/>
          <w:szCs w:val="28"/>
        </w:rPr>
      </w:pPr>
    </w:p>
    <w:p>
      <w:pPr>
        <w:spacing w:line="300" w:lineRule="auto"/>
        <w:ind w:firstLine="480" w:firstLineChars="200"/>
        <w:rPr>
          <w:rFonts w:hint="eastAsia" w:ascii="Times New Roman" w:hAnsi="Times New Roman"/>
          <w:sz w:val="24"/>
          <w:szCs w:val="28"/>
        </w:rPr>
      </w:pPr>
    </w:p>
    <w:p>
      <w:pPr>
        <w:pStyle w:val="4"/>
        <w:spacing w:before="312" w:after="156"/>
        <w:rPr>
          <w:rFonts w:ascii="Times New Roman" w:hAnsi="Times New Roman"/>
        </w:rPr>
      </w:pPr>
      <w:bookmarkStart w:id="102" w:name="_Toc61256701"/>
      <w:bookmarkStart w:id="103" w:name="_Toc24535"/>
      <w:r>
        <w:rPr>
          <w:rFonts w:ascii="Times New Roman" w:hAnsi="Times New Roman"/>
        </w:rPr>
        <w:t>八、主要问题和改进措施</w:t>
      </w:r>
      <w:bookmarkEnd w:id="102"/>
      <w:bookmarkEnd w:id="103"/>
    </w:p>
    <w:p>
      <w:pPr>
        <w:pStyle w:val="5"/>
        <w:rPr>
          <w:rFonts w:ascii="Times New Roman" w:hAnsi="Times New Roman"/>
        </w:rPr>
      </w:pPr>
      <w:bookmarkStart w:id="104" w:name="_Toc61256702"/>
      <w:bookmarkStart w:id="105" w:name="_Toc12492"/>
      <w:r>
        <w:rPr>
          <w:rFonts w:ascii="Times New Roman" w:hAnsi="Times New Roman"/>
        </w:rPr>
        <w:t>（一）存在问题</w:t>
      </w:r>
      <w:bookmarkEnd w:id="104"/>
      <w:bookmarkEnd w:id="105"/>
    </w:p>
    <w:p>
      <w:pPr>
        <w:spacing w:line="300" w:lineRule="auto"/>
        <w:ind w:firstLine="482" w:firstLineChars="200"/>
        <w:rPr>
          <w:rFonts w:hint="eastAsia" w:ascii="Times New Roman" w:hAnsi="Times New Roman" w:cs="Times New Roman" w:eastAsiaTheme="minorEastAsia"/>
          <w:bCs/>
          <w:sz w:val="24"/>
        </w:rPr>
      </w:pPr>
      <w:r>
        <w:rPr>
          <w:rFonts w:hint="eastAsia" w:ascii="Times New Roman" w:hAnsi="Times New Roman" w:cs="Times New Roman" w:eastAsiaTheme="minorEastAsia"/>
          <w:b/>
          <w:bCs/>
          <w:sz w:val="24"/>
          <w:lang w:val="en-US" w:eastAsia="zh-CN"/>
        </w:rPr>
        <w:t>1</w:t>
      </w:r>
      <w:r>
        <w:rPr>
          <w:rFonts w:ascii="Times New Roman" w:hAnsi="Times New Roman" w:cs="Times New Roman" w:eastAsiaTheme="minorEastAsia"/>
          <w:b/>
          <w:bCs/>
          <w:sz w:val="24"/>
        </w:rPr>
        <w:t>.</w:t>
      </w:r>
      <w:r>
        <w:rPr>
          <w:rFonts w:hint="eastAsia" w:ascii="Times New Roman" w:hAnsi="Times New Roman" w:cs="Times New Roman" w:eastAsiaTheme="minorEastAsia"/>
          <w:b/>
          <w:bCs/>
          <w:sz w:val="24"/>
        </w:rPr>
        <w:t>内涵建设和人才质量有待提升。</w:t>
      </w:r>
      <w:r>
        <w:rPr>
          <w:rFonts w:hint="eastAsia" w:ascii="Times New Roman" w:hAnsi="Times New Roman" w:cs="Times New Roman" w:eastAsiaTheme="minorEastAsia"/>
          <w:bCs/>
          <w:sz w:val="24"/>
          <w:highlight w:val="none"/>
        </w:rPr>
        <w:t>当前，职业教育从之前注重外延走向注重内涵、由规模扩张转向提高质量和特色发展的新阶段，对人才培养提出了更高的要求。学校作为</w:t>
      </w:r>
      <w:r>
        <w:rPr>
          <w:rFonts w:hint="eastAsia" w:ascii="Times New Roman" w:hAnsi="Times New Roman" w:cs="Times New Roman" w:eastAsiaTheme="minorEastAsia"/>
          <w:bCs/>
          <w:sz w:val="24"/>
          <w:highlight w:val="none"/>
          <w:lang w:val="en-US" w:eastAsia="zh-CN"/>
        </w:rPr>
        <w:t>海西州</w:t>
      </w:r>
      <w:r>
        <w:rPr>
          <w:rFonts w:hint="eastAsia" w:ascii="Times New Roman" w:hAnsi="Times New Roman" w:cs="Times New Roman" w:eastAsiaTheme="minorEastAsia"/>
          <w:bCs/>
          <w:sz w:val="24"/>
          <w:highlight w:val="none"/>
        </w:rPr>
        <w:t>中职，在办学基础条件、师资队伍、实训基地等方面优于一般的地市学校，但与先进职业教育地区的学校还存在一定差距，培养</w:t>
      </w:r>
      <w:r>
        <w:rPr>
          <w:rFonts w:hint="eastAsia" w:ascii="Times New Roman" w:hAnsi="Times New Roman" w:cs="Times New Roman" w:eastAsiaTheme="minorEastAsia"/>
          <w:bCs/>
          <w:sz w:val="24"/>
        </w:rPr>
        <w:t>服务高端产业的高素质技术技能人才的能力有待提升。</w:t>
      </w:r>
    </w:p>
    <w:p>
      <w:pPr>
        <w:autoSpaceDE w:val="0"/>
        <w:autoSpaceDN w:val="0"/>
        <w:adjustRightInd w:val="0"/>
        <w:spacing w:line="300" w:lineRule="auto"/>
        <w:ind w:firstLine="482" w:firstLineChars="200"/>
        <w:jc w:val="left"/>
        <w:rPr>
          <w:rFonts w:ascii="Times New Roman" w:hAnsi="Times New Roman" w:eastAsia="宋体" w:cs="Times New Roman"/>
          <w:bCs/>
          <w:sz w:val="24"/>
          <w:szCs w:val="24"/>
        </w:rPr>
      </w:pPr>
      <w:r>
        <w:rPr>
          <w:rFonts w:hint="eastAsia" w:ascii="Times New Roman" w:hAnsi="Times New Roman" w:eastAsia="宋体" w:cs="Times New Roman"/>
          <w:b/>
          <w:sz w:val="24"/>
          <w:szCs w:val="24"/>
          <w:lang w:val="en-US" w:eastAsia="zh-CN"/>
        </w:rPr>
        <w:t>2</w:t>
      </w:r>
      <w:r>
        <w:rPr>
          <w:rFonts w:hint="eastAsia" w:ascii="Times New Roman" w:hAnsi="Times New Roman" w:eastAsia="宋体" w:cs="Times New Roman"/>
          <w:b/>
          <w:sz w:val="24"/>
          <w:szCs w:val="24"/>
        </w:rPr>
        <w:t>.师资结构不合理，师资队伍建设力度不够。</w:t>
      </w:r>
      <w:r>
        <w:rPr>
          <w:rFonts w:hint="eastAsia" w:ascii="Times New Roman" w:hAnsi="Times New Roman"/>
          <w:sz w:val="24"/>
          <w:szCs w:val="28"/>
        </w:rPr>
        <w:t>教师的数量相对较少，青年教师占比较大，存在教师企业实践经验匮乏的问题，</w:t>
      </w:r>
      <w:r>
        <w:rPr>
          <w:rFonts w:hint="eastAsia" w:ascii="Times New Roman" w:hAnsi="Times New Roman" w:eastAsia="宋体" w:cs="Times New Roman"/>
          <w:bCs/>
          <w:sz w:val="24"/>
          <w:szCs w:val="24"/>
        </w:rPr>
        <w:t>缺乏高层次、高学历和高职称的专业师资，无法形成布局合理、层次分明的教学梯队，相对制约了专业的发展。大多数老师都是身兼数职，师资队伍建设亟待加强。</w:t>
      </w:r>
    </w:p>
    <w:p>
      <w:pPr>
        <w:spacing w:line="300" w:lineRule="auto"/>
        <w:ind w:firstLine="482" w:firstLineChars="200"/>
        <w:rPr>
          <w:rFonts w:ascii="Times New Roman" w:hAnsi="Times New Roman"/>
          <w:sz w:val="24"/>
          <w:szCs w:val="28"/>
        </w:rPr>
      </w:pPr>
      <w:r>
        <w:rPr>
          <w:rFonts w:hint="eastAsia" w:ascii="Times New Roman" w:hAnsi="Times New Roman"/>
          <w:b/>
          <w:bCs/>
          <w:sz w:val="24"/>
          <w:szCs w:val="28"/>
          <w:lang w:val="en-US" w:eastAsia="zh-CN"/>
        </w:rPr>
        <w:t>3</w:t>
      </w:r>
      <w:r>
        <w:rPr>
          <w:rFonts w:ascii="Times New Roman" w:hAnsi="Times New Roman"/>
          <w:b/>
          <w:bCs/>
          <w:sz w:val="24"/>
          <w:szCs w:val="28"/>
        </w:rPr>
        <w:t>.</w:t>
      </w:r>
      <w:r>
        <w:rPr>
          <w:rFonts w:hint="eastAsia" w:ascii="Times New Roman" w:hAnsi="Times New Roman"/>
          <w:b/>
          <w:bCs/>
          <w:sz w:val="24"/>
          <w:szCs w:val="28"/>
          <w:lang w:val="en-US" w:eastAsia="zh-CN"/>
        </w:rPr>
        <w:t>校企合作不充分。</w:t>
      </w:r>
      <w:r>
        <w:rPr>
          <w:rFonts w:hint="eastAsia" w:ascii="Times New Roman" w:hAnsi="Times New Roman"/>
          <w:sz w:val="24"/>
          <w:szCs w:val="28"/>
        </w:rPr>
        <w:t>校企合作的深度和广度需要进一步提升，缺乏相应的制度保障，企业参与职业教育积极性不高，知名企业占有率较低，影响学生实习就业。</w:t>
      </w:r>
    </w:p>
    <w:p>
      <w:pPr>
        <w:pStyle w:val="5"/>
        <w:rPr>
          <w:rFonts w:ascii="Times New Roman" w:hAnsi="Times New Roman"/>
        </w:rPr>
      </w:pPr>
      <w:bookmarkStart w:id="106" w:name="_Toc26079"/>
      <w:bookmarkStart w:id="107" w:name="_Toc61256703"/>
      <w:r>
        <w:rPr>
          <w:rFonts w:ascii="Times New Roman" w:hAnsi="Times New Roman"/>
        </w:rPr>
        <w:t>（二）改进措施</w:t>
      </w:r>
      <w:bookmarkEnd w:id="106"/>
      <w:bookmarkEnd w:id="107"/>
    </w:p>
    <w:p>
      <w:pPr>
        <w:pStyle w:val="28"/>
        <w:spacing w:line="300" w:lineRule="auto"/>
        <w:ind w:firstLine="482" w:firstLineChars="200"/>
        <w:rPr>
          <w:rFonts w:ascii="Times New Roman" w:hAnsi="Times New Roman" w:eastAsiaTheme="minorEastAsia"/>
          <w:bCs/>
          <w:sz w:val="24"/>
          <w:szCs w:val="22"/>
        </w:rPr>
      </w:pPr>
      <w:r>
        <w:rPr>
          <w:rFonts w:hint="eastAsia" w:ascii="Times New Roman" w:hAnsi="Times New Roman" w:eastAsiaTheme="minorEastAsia"/>
          <w:b/>
          <w:sz w:val="24"/>
          <w:szCs w:val="22"/>
          <w:lang w:val="en-US" w:eastAsia="zh-CN"/>
        </w:rPr>
        <w:t>1</w:t>
      </w:r>
      <w:r>
        <w:rPr>
          <w:rFonts w:ascii="Times New Roman" w:hAnsi="Times New Roman" w:eastAsiaTheme="minorEastAsia"/>
          <w:b/>
          <w:sz w:val="24"/>
          <w:szCs w:val="22"/>
        </w:rPr>
        <w:t>.</w:t>
      </w:r>
      <w:r>
        <w:rPr>
          <w:rFonts w:hint="eastAsia" w:ascii="Times New Roman" w:hAnsi="Times New Roman"/>
          <w:b/>
          <w:sz w:val="24"/>
        </w:rPr>
        <w:t>深化内涵建设，全面提升人才培养质量。</w:t>
      </w:r>
      <w:r>
        <w:rPr>
          <w:rFonts w:hint="eastAsia" w:ascii="Times New Roman" w:hAnsi="Times New Roman"/>
          <w:sz w:val="24"/>
        </w:rPr>
        <w:t>根据产业链发展情况，构建专业群，优化专业结构，开设成都市战略新兴产业所需要的新专业</w:t>
      </w:r>
      <w:r>
        <w:rPr>
          <w:rFonts w:hint="eastAsia" w:ascii="Times New Roman" w:hAnsi="Times New Roman"/>
          <w:sz w:val="24"/>
          <w:lang w:eastAsia="zh-CN"/>
        </w:rPr>
        <w:t>，</w:t>
      </w:r>
      <w:r>
        <w:rPr>
          <w:rFonts w:hint="eastAsia" w:ascii="Times New Roman" w:hAnsi="Times New Roman"/>
          <w:sz w:val="24"/>
        </w:rPr>
        <w:t>并根据实际情况动态优化调整。对标东部及沿海职业教育先进学校，找差距、查找短板谋发展。做好专业人才培养，狠抓教学质量，做好教学资源库建设，建设一批精品课程，以现代信息技术手段带动职业教育现代化，促进信息技术和教育教学深度融合。</w:t>
      </w:r>
    </w:p>
    <w:p>
      <w:pPr>
        <w:spacing w:line="300" w:lineRule="auto"/>
        <w:ind w:firstLine="482" w:firstLineChars="200"/>
        <w:rPr>
          <w:rFonts w:hint="eastAsia" w:ascii="Times New Roman" w:hAnsi="Times New Roman" w:eastAsia="宋体" w:cs="Times New Roman"/>
          <w:bCs/>
          <w:color w:val="auto"/>
          <w:sz w:val="24"/>
          <w:szCs w:val="24"/>
        </w:rPr>
      </w:pPr>
      <w:r>
        <w:rPr>
          <w:rFonts w:hint="eastAsia" w:ascii="Times New Roman" w:hAnsi="Times New Roman" w:eastAsia="宋体" w:cs="Times New Roman"/>
          <w:b/>
          <w:sz w:val="24"/>
          <w:szCs w:val="24"/>
          <w:lang w:val="en-US" w:eastAsia="zh-CN"/>
        </w:rPr>
        <w:t>2</w:t>
      </w:r>
      <w:r>
        <w:rPr>
          <w:rFonts w:hint="eastAsia" w:ascii="Times New Roman" w:hAnsi="Times New Roman" w:eastAsia="宋体" w:cs="Times New Roman"/>
          <w:b/>
          <w:sz w:val="24"/>
          <w:szCs w:val="24"/>
        </w:rPr>
        <w:t>.加快师资队伍建设，提升教师队伍水平。</w:t>
      </w:r>
      <w:r>
        <w:rPr>
          <w:rFonts w:hint="eastAsia" w:ascii="Times New Roman" w:hAnsi="Times New Roman" w:eastAsia="宋体" w:cs="Times New Roman"/>
          <w:bCs/>
          <w:sz w:val="24"/>
          <w:szCs w:val="24"/>
        </w:rPr>
        <w:t>建议完善师资队伍的数量、质量、结构和能力。目前学校</w:t>
      </w:r>
      <w:r>
        <w:rPr>
          <w:rFonts w:hint="eastAsia" w:ascii="Times New Roman" w:hAnsi="Times New Roman" w:eastAsia="宋体" w:cs="Times New Roman"/>
          <w:bCs/>
          <w:sz w:val="24"/>
          <w:szCs w:val="24"/>
          <w:lang w:val="en-US" w:eastAsia="zh-CN"/>
        </w:rPr>
        <w:t>45</w:t>
      </w:r>
      <w:r>
        <w:rPr>
          <w:rFonts w:hint="eastAsia" w:ascii="Times New Roman" w:hAnsi="Times New Roman" w:eastAsia="宋体" w:cs="Times New Roman"/>
          <w:bCs/>
          <w:sz w:val="24"/>
          <w:szCs w:val="24"/>
        </w:rPr>
        <w:t>岁及以下青年专任教师占</w:t>
      </w:r>
      <w:r>
        <w:rPr>
          <w:rFonts w:hint="eastAsia" w:ascii="Times New Roman" w:hAnsi="Times New Roman" w:eastAsia="宋体" w:cs="Times New Roman"/>
          <w:bCs/>
          <w:sz w:val="24"/>
          <w:szCs w:val="24"/>
          <w:lang w:val="en-US" w:eastAsia="zh-CN"/>
        </w:rPr>
        <w:t>72</w:t>
      </w:r>
      <w:r>
        <w:rPr>
          <w:rFonts w:ascii="Times New Roman" w:hAnsi="Times New Roman" w:eastAsia="宋体" w:cs="Times New Roman"/>
          <w:bCs/>
          <w:sz w:val="24"/>
          <w:szCs w:val="24"/>
        </w:rPr>
        <w:t>%</w:t>
      </w:r>
      <w:r>
        <w:rPr>
          <w:rFonts w:hint="eastAsia" w:ascii="Times New Roman" w:hAnsi="Times New Roman" w:eastAsia="宋体" w:cs="Times New Roman"/>
          <w:bCs/>
          <w:sz w:val="24"/>
          <w:szCs w:val="24"/>
        </w:rPr>
        <w:t>左右，</w:t>
      </w:r>
      <w:r>
        <w:rPr>
          <w:rFonts w:hint="eastAsia" w:ascii="Times New Roman" w:hAnsi="Times New Roman" w:cs="Times New Roman"/>
          <w:bCs/>
          <w:sz w:val="24"/>
          <w:szCs w:val="24"/>
          <w:lang w:eastAsia="zh-CN"/>
        </w:rPr>
        <w:t>需</w:t>
      </w:r>
      <w:r>
        <w:rPr>
          <w:rFonts w:hint="eastAsia" w:ascii="Times New Roman" w:hAnsi="Times New Roman" w:eastAsia="宋体" w:cs="Times New Roman"/>
          <w:bCs/>
          <w:sz w:val="24"/>
          <w:szCs w:val="24"/>
        </w:rPr>
        <w:t>重视青年教师的发展和成长，大力支持青年教师学历进修；鼓励教师走出去进修培训和实践培训，</w:t>
      </w:r>
      <w:r>
        <w:rPr>
          <w:rFonts w:hint="eastAsia" w:ascii="Times New Roman" w:hAnsi="Times New Roman" w:eastAsia="宋体" w:cs="Times New Roman"/>
          <w:bCs/>
          <w:color w:val="auto"/>
          <w:sz w:val="24"/>
          <w:szCs w:val="24"/>
        </w:rPr>
        <w:t>通过外出培训汇报制度和实践实训锻炼，提高师资队伍的整体素质。</w:t>
      </w:r>
    </w:p>
    <w:p>
      <w:pPr>
        <w:spacing w:line="300" w:lineRule="auto"/>
        <w:ind w:firstLine="482" w:firstLineChars="200"/>
        <w:rPr>
          <w:rFonts w:ascii="Times New Roman" w:hAnsi="Times New Roman"/>
          <w:sz w:val="24"/>
          <w:szCs w:val="28"/>
        </w:rPr>
      </w:pPr>
      <w:r>
        <w:rPr>
          <w:rFonts w:hint="eastAsia" w:ascii="Times New Roman" w:hAnsi="Times New Roman"/>
          <w:b/>
          <w:bCs/>
          <w:sz w:val="24"/>
          <w:szCs w:val="28"/>
          <w:lang w:val="en-US" w:eastAsia="zh-CN"/>
        </w:rPr>
        <w:t>3</w:t>
      </w:r>
      <w:r>
        <w:rPr>
          <w:rFonts w:ascii="Times New Roman" w:hAnsi="Times New Roman"/>
          <w:b/>
          <w:bCs/>
          <w:sz w:val="24"/>
          <w:szCs w:val="28"/>
        </w:rPr>
        <w:t>.</w:t>
      </w:r>
      <w:r>
        <w:rPr>
          <w:rFonts w:hint="eastAsia" w:ascii="Times New Roman" w:hAnsi="Times New Roman"/>
          <w:b/>
          <w:bCs/>
          <w:sz w:val="24"/>
          <w:szCs w:val="28"/>
          <w:lang w:val="en-US" w:eastAsia="zh-CN"/>
        </w:rPr>
        <w:t>推进校企深度融合。</w:t>
      </w:r>
      <w:r>
        <w:rPr>
          <w:rFonts w:hint="eastAsia" w:ascii="Times New Roman" w:hAnsi="Times New Roman"/>
          <w:sz w:val="24"/>
          <w:szCs w:val="28"/>
        </w:rPr>
        <w:t>完善学校企业合作专家咨询委员会和专业建设专家委员会工作机制，深化产教融合，继续</w:t>
      </w:r>
      <w:r>
        <w:rPr>
          <w:rFonts w:ascii="Times New Roman" w:hAnsi="Times New Roman"/>
          <w:sz w:val="24"/>
          <w:szCs w:val="28"/>
        </w:rPr>
        <w:t>推进现代学徒制专业试点、优势特色项目专业，</w:t>
      </w:r>
      <w:r>
        <w:rPr>
          <w:rFonts w:hint="eastAsia" w:ascii="Times New Roman" w:hAnsi="Times New Roman"/>
          <w:sz w:val="24"/>
          <w:szCs w:val="28"/>
        </w:rPr>
        <w:t>促进企业深度参与学校人才培养方案、教学计划、实践教学等环节，探索和实践具有专业特色的人才培养模式与课程体系改革，实现学校人才培养模式与企业岗位设置、人才需求相适应的机制。</w:t>
      </w:r>
      <w:r>
        <w:rPr>
          <w:rFonts w:ascii="Times New Roman" w:hAnsi="Times New Roman"/>
          <w:sz w:val="24"/>
          <w:szCs w:val="28"/>
        </w:rPr>
        <w:br w:type="page"/>
      </w:r>
    </w:p>
    <w:p>
      <w:pPr>
        <w:pStyle w:val="4"/>
        <w:spacing w:before="312" w:after="156"/>
        <w:rPr>
          <w:rFonts w:ascii="Times New Roman" w:hAnsi="Times New Roman"/>
        </w:rPr>
      </w:pPr>
      <w:bookmarkStart w:id="108" w:name="_Toc61256704"/>
      <w:bookmarkStart w:id="109" w:name="_Toc20544"/>
      <w:r>
        <w:rPr>
          <w:rFonts w:hint="eastAsia" w:ascii="Times New Roman" w:hAnsi="Times New Roman"/>
        </w:rPr>
        <w:t>附件</w:t>
      </w:r>
      <w:bookmarkEnd w:id="108"/>
      <w:bookmarkEnd w:id="109"/>
    </w:p>
    <w:p>
      <w:pPr>
        <w:pStyle w:val="5"/>
        <w:rPr>
          <w:rFonts w:ascii="Times New Roman" w:hAnsi="Times New Roman"/>
        </w:rPr>
      </w:pPr>
      <w:bookmarkStart w:id="110" w:name="_Toc12284"/>
      <w:bookmarkStart w:id="111" w:name="_Toc61256705"/>
      <w:r>
        <w:rPr>
          <w:rFonts w:ascii="Times New Roman" w:hAnsi="Times New Roman"/>
        </w:rPr>
        <w:t>附</w:t>
      </w:r>
      <w:r>
        <w:rPr>
          <w:rFonts w:hint="eastAsia" w:ascii="Times New Roman" w:hAnsi="Times New Roman"/>
        </w:rPr>
        <w:t>件</w:t>
      </w:r>
      <w:r>
        <w:rPr>
          <w:rFonts w:ascii="Times New Roman" w:hAnsi="Times New Roman"/>
        </w:rPr>
        <w:t>1：学校区位图</w:t>
      </w:r>
      <w:bookmarkEnd w:id="110"/>
      <w:bookmarkEnd w:id="111"/>
    </w:p>
    <w:p>
      <w:pPr>
        <w:pStyle w:val="34"/>
        <w:ind w:firstLine="0" w:firstLineChars="0"/>
        <w:jc w:val="center"/>
        <w:rPr>
          <w:rFonts w:ascii="Times New Roman" w:hAnsi="Times New Roman" w:cs="Times New Roman"/>
          <w:highlight w:val="yellow"/>
        </w:rPr>
      </w:pPr>
      <w:r>
        <w:rPr>
          <w:rFonts w:ascii="Times New Roman" w:hAnsi="Times New Roman" w:cs="Times New Roman"/>
        </w:rPr>
        <w:drawing>
          <wp:inline distT="0" distB="0" distL="0" distR="0">
            <wp:extent cx="5024755" cy="3657600"/>
            <wp:effectExtent l="0" t="0" r="4445"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图片 237"/>
                    <pic:cNvPicPr>
                      <a:picLocks noChangeAspect="1" noChangeArrowheads="1"/>
                    </pic:cNvPicPr>
                  </pic:nvPicPr>
                  <pic:blipFill>
                    <a:blip r:embed="rId45" cstate="print">
                      <a:extLst>
                        <a:ext uri="{28A0092B-C50C-407E-A947-70E740481C1C}">
                          <a14:useLocalDpi xmlns:a14="http://schemas.microsoft.com/office/drawing/2010/main" val="0"/>
                        </a:ext>
                      </a:extLst>
                    </a:blip>
                    <a:srcRect t="8752" b="39768"/>
                    <a:stretch>
                      <a:fillRect/>
                    </a:stretch>
                  </pic:blipFill>
                  <pic:spPr>
                    <a:xfrm>
                      <a:off x="0" y="0"/>
                      <a:ext cx="5065224" cy="3686646"/>
                    </a:xfrm>
                    <a:prstGeom prst="rect">
                      <a:avLst/>
                    </a:prstGeom>
                    <a:noFill/>
                    <a:ln>
                      <a:noFill/>
                    </a:ln>
                  </pic:spPr>
                </pic:pic>
              </a:graphicData>
            </a:graphic>
          </wp:inline>
        </w:drawing>
      </w:r>
    </w:p>
    <w:p>
      <w:pPr>
        <w:spacing w:line="360" w:lineRule="auto"/>
        <w:jc w:val="center"/>
        <w:rPr>
          <w:rFonts w:ascii="Times New Roman" w:hAnsi="Times New Roman"/>
          <w:b/>
          <w:sz w:val="28"/>
          <w:szCs w:val="28"/>
        </w:rPr>
      </w:pPr>
      <w:r>
        <w:rPr>
          <w:rFonts w:ascii="Times New Roman" w:hAnsi="Times New Roman"/>
        </w:rPr>
        <mc:AlternateContent>
          <mc:Choice Requires="wps">
            <w:drawing>
              <wp:anchor distT="0" distB="0" distL="114300" distR="114300" simplePos="0" relativeHeight="251659264" behindDoc="0" locked="0" layoutInCell="1" allowOverlap="1">
                <wp:simplePos x="0" y="0"/>
                <wp:positionH relativeFrom="column">
                  <wp:posOffset>89535</wp:posOffset>
                </wp:positionH>
                <wp:positionV relativeFrom="paragraph">
                  <wp:posOffset>368935</wp:posOffset>
                </wp:positionV>
                <wp:extent cx="5151120" cy="4013200"/>
                <wp:effectExtent l="0" t="0" r="11430" b="6350"/>
                <wp:wrapNone/>
                <wp:docPr id="51" name="文本框 51"/>
                <wp:cNvGraphicFramePr/>
                <a:graphic xmlns:a="http://schemas.openxmlformats.org/drawingml/2006/main">
                  <a:graphicData uri="http://schemas.microsoft.com/office/word/2010/wordprocessingShape">
                    <wps:wsp>
                      <wps:cNvSpPr txBox="1"/>
                      <wps:spPr>
                        <a:xfrm>
                          <a:off x="0" y="0"/>
                          <a:ext cx="5151120" cy="4013200"/>
                        </a:xfrm>
                        <a:prstGeom prst="rect">
                          <a:avLst/>
                        </a:prstGeom>
                        <a:solidFill>
                          <a:srgbClr val="4BACC6">
                            <a:lumMod val="20000"/>
                            <a:lumOff val="80000"/>
                          </a:srgbClr>
                        </a:solidFill>
                        <a:ln w="6350">
                          <a:noFill/>
                        </a:ln>
                        <a:effectLst/>
                      </wps:spPr>
                      <wps:txbx>
                        <w:txbxContent>
                          <w:p>
                            <w:pPr>
                              <w:spacing w:line="300" w:lineRule="auto"/>
                              <w:rPr>
                                <w:rFonts w:ascii="Times New Roman" w:hAnsi="Times New Roman"/>
                                <w:color w:val="333333"/>
                                <w:shd w:val="clear" w:color="auto" w:fill="FFFFFF"/>
                              </w:rPr>
                            </w:pPr>
                            <w:r>
                              <w:rPr>
                                <w:rFonts w:ascii="Times New Roman" w:hAnsi="Times New Roman"/>
                                <w:b/>
                              </w:rPr>
                              <w:t>区位优势：</w:t>
                            </w:r>
                            <w:r>
                              <w:rPr>
                                <w:rFonts w:hint="eastAsia" w:ascii="Times New Roman" w:hAnsi="Times New Roman"/>
                              </w:rPr>
                              <w:t>海西蒙古族藏族自治州职业技术学校</w:t>
                            </w:r>
                            <w:r>
                              <w:rPr>
                                <w:rFonts w:ascii="Times New Roman" w:hAnsi="Times New Roman"/>
                              </w:rPr>
                              <w:t>位于州府所在地德令哈市，是以蒙古族为主体少数民族，有藏族、回族、撒拉族、土族、汉族等20个民族组成的多民族聚居区，是全州政治、教育、科技、文化中心，也是海西东部经济区中心，市内矿产资源丰富，拥有柏树山、黑石山水库、“外星人遗址”、怀头他拉岩画、“褡裢湖”等旅游景点。</w:t>
                            </w:r>
                          </w:p>
                          <w:p>
                            <w:pPr>
                              <w:spacing w:line="300" w:lineRule="auto"/>
                              <w:rPr>
                                <w:rFonts w:ascii="Times New Roman" w:hAnsi="Times New Roman"/>
                              </w:rPr>
                            </w:pPr>
                            <w:r>
                              <w:rPr>
                                <w:rFonts w:ascii="Times New Roman" w:hAnsi="Times New Roman"/>
                                <w:b/>
                              </w:rPr>
                              <w:t>交通优势：</w:t>
                            </w:r>
                            <w:r>
                              <w:rPr>
                                <w:rFonts w:ascii="Times New Roman" w:hAnsi="Times New Roman"/>
                              </w:rPr>
                              <w:t>青藏铁路、青新公路两条交通大动脉，呈平行状态从德令哈市境内的额南部通过，又有省级德都公路把青新公路和青藏公路连接起来，德令哈市以构建起城市总体框架，形成</w:t>
                            </w:r>
                            <w:r>
                              <w:rPr>
                                <w:rFonts w:ascii="宋体" w:hAnsi="宋体"/>
                              </w:rPr>
                              <w:t>“六纵五横”的交通</w:t>
                            </w:r>
                            <w:r>
                              <w:rPr>
                                <w:rFonts w:ascii="Times New Roman" w:hAnsi="Times New Roman"/>
                              </w:rPr>
                              <w:t>网络。</w:t>
                            </w:r>
                          </w:p>
                          <w:p>
                            <w:pPr>
                              <w:spacing w:line="300" w:lineRule="auto"/>
                              <w:rPr>
                                <w:rFonts w:ascii="Times New Roman" w:hAnsi="Times New Roman"/>
                              </w:rPr>
                            </w:pPr>
                            <w:r>
                              <w:rPr>
                                <w:rFonts w:ascii="Times New Roman" w:hAnsi="Times New Roman"/>
                                <w:b/>
                              </w:rPr>
                              <w:t>产业优势：</w:t>
                            </w:r>
                            <w:r>
                              <w:rPr>
                                <w:rFonts w:ascii="Times New Roman" w:hAnsi="Times New Roman"/>
                              </w:rPr>
                              <w:t>第一产业：完成农作物播种面积13.9万亩，种植枸杞9.3万亩，新引进藜麦试种成功，特色经济作物种植面积同比增长6个百分点，特色产业体系不断健全；第二产业：重点产业项目建设扎实推进，发展盐碱化工业、建材工业、生物制品工业等；第三产业：加快实施</w:t>
                            </w:r>
                            <w:r>
                              <w:rPr>
                                <w:rFonts w:ascii="宋体" w:hAnsi="宋体"/>
                              </w:rPr>
                              <w:t>“万村千乡”市场工程，发展高原生态旅游业</w:t>
                            </w:r>
                            <w:r>
                              <w:rPr>
                                <w:rFonts w:ascii="Times New Roman" w:hAnsi="Times New Roman"/>
                              </w:rPr>
                              <w:t>，物流服务业。</w:t>
                            </w:r>
                          </w:p>
                          <w:p>
                            <w:pPr>
                              <w:spacing w:line="300" w:lineRule="auto"/>
                            </w:pPr>
                            <w:r>
                              <w:rPr>
                                <w:rFonts w:ascii="Times New Roman" w:hAnsi="Times New Roman"/>
                                <w:b/>
                              </w:rPr>
                              <w:t>学校优势：</w:t>
                            </w:r>
                            <w:r>
                              <w:rPr>
                                <w:rFonts w:hint="eastAsia" w:ascii="Times New Roman" w:hAnsi="Times New Roman"/>
                              </w:rPr>
                              <w:t>海西蒙古族藏族自治州职业技术学校</w:t>
                            </w:r>
                            <w:r>
                              <w:rPr>
                                <w:rFonts w:ascii="Times New Roman" w:hAnsi="Times New Roman"/>
                              </w:rPr>
                              <w:t>是海西地区集中职学历教育、职业技能培训、电大成人教育为一体的中等职业技术学校，2012年9月被确定为国家中等职业教育改革发展范校建设项目学校。学校开设了化工、机电、汽修、护理、</w:t>
                            </w:r>
                            <w:r>
                              <w:rPr>
                                <w:rFonts w:hint="eastAsia" w:ascii="Times New Roman" w:hAnsi="Times New Roman"/>
                                <w:lang w:val="en-US" w:eastAsia="zh-CN"/>
                              </w:rPr>
                              <w:t>幼儿保育</w:t>
                            </w:r>
                            <w:r>
                              <w:rPr>
                                <w:rFonts w:ascii="Times New Roman" w:hAnsi="Times New Roman"/>
                              </w:rPr>
                              <w:t>等</w:t>
                            </w:r>
                            <w:r>
                              <w:rPr>
                                <w:rFonts w:hint="eastAsia" w:ascii="Times New Roman" w:hAnsi="Times New Roman"/>
                                <w:highlight w:val="none"/>
                                <w:lang w:eastAsia="zh-CN"/>
                              </w:rPr>
                              <w:t>9</w:t>
                            </w:r>
                            <w:r>
                              <w:rPr>
                                <w:rFonts w:ascii="Times New Roman" w:hAnsi="Times New Roman"/>
                                <w:highlight w:val="none"/>
                              </w:rPr>
                              <w:t>个专</w:t>
                            </w:r>
                            <w:r>
                              <w:rPr>
                                <w:rFonts w:ascii="Times New Roman" w:hAnsi="Times New Roman"/>
                              </w:rPr>
                              <w:t>业。</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05pt;margin-top:29.05pt;height:316pt;width:405.6pt;z-index:251659264;mso-width-relative:page;mso-height-relative:page;" fillcolor="#DBEEF4" filled="t" stroked="f" coordsize="21600,21600" o:gfxdata="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AlHdYC2AAAAAkBAAAPAAAAAAAAAAEAIAAAACIAAABkcnMvZG93&#10;bnJldi54bWxQSwECFAAUAAAACACHTuJAibE7HHICAADZBAAADgAAAAAAAAABACAAAAAnAQAAZHJz&#10;L2Uyb0RvYy54bWxQSwUGAAAAAAYABgBZAQAACwYAAAAA&#10;">
                <v:fill on="t" focussize="0,0"/>
                <v:stroke on="f" weight="0.5pt"/>
                <v:imagedata o:title=""/>
                <o:lock v:ext="edit" aspectratio="f"/>
                <v:textbox>
                  <w:txbxContent>
                    <w:p>
                      <w:pPr>
                        <w:spacing w:line="300" w:lineRule="auto"/>
                        <w:rPr>
                          <w:rFonts w:ascii="Times New Roman" w:hAnsi="Times New Roman"/>
                          <w:color w:val="333333"/>
                          <w:shd w:val="clear" w:color="auto" w:fill="FFFFFF"/>
                        </w:rPr>
                      </w:pPr>
                      <w:r>
                        <w:rPr>
                          <w:rFonts w:ascii="Times New Roman" w:hAnsi="Times New Roman"/>
                          <w:b/>
                        </w:rPr>
                        <w:t>区位优势：</w:t>
                      </w:r>
                      <w:r>
                        <w:rPr>
                          <w:rFonts w:hint="eastAsia" w:ascii="Times New Roman" w:hAnsi="Times New Roman"/>
                        </w:rPr>
                        <w:t>海西蒙古族藏族自治州职业技术学校</w:t>
                      </w:r>
                      <w:r>
                        <w:rPr>
                          <w:rFonts w:ascii="Times New Roman" w:hAnsi="Times New Roman"/>
                        </w:rPr>
                        <w:t>位于州府所在地德令哈市，是以蒙古族为主体少数民族，有藏族、回族、撒拉族、土族、汉族等20个民族组成的多民族聚居区，是全州政治、教育、科技、文化中心，也是海西东部经济区中心，市内矿产资源丰富，拥有柏树山、黑石山水库、“外星人遗址”、怀头他拉岩画、“褡裢湖”等旅游景点。</w:t>
                      </w:r>
                    </w:p>
                    <w:p>
                      <w:pPr>
                        <w:spacing w:line="300" w:lineRule="auto"/>
                        <w:rPr>
                          <w:rFonts w:ascii="Times New Roman" w:hAnsi="Times New Roman"/>
                        </w:rPr>
                      </w:pPr>
                      <w:r>
                        <w:rPr>
                          <w:rFonts w:ascii="Times New Roman" w:hAnsi="Times New Roman"/>
                          <w:b/>
                        </w:rPr>
                        <w:t>交通优势：</w:t>
                      </w:r>
                      <w:r>
                        <w:rPr>
                          <w:rFonts w:ascii="Times New Roman" w:hAnsi="Times New Roman"/>
                        </w:rPr>
                        <w:t>青藏铁路、青新公路两条交通大动脉，呈平行状态从德令哈市境内的额南部通过，又有省级德都公路把青新公路和青藏公路连接起来，德令哈市以构建起城市总体框架，形成</w:t>
                      </w:r>
                      <w:r>
                        <w:rPr>
                          <w:rFonts w:ascii="宋体" w:hAnsi="宋体"/>
                        </w:rPr>
                        <w:t>“六纵五横”的交通</w:t>
                      </w:r>
                      <w:r>
                        <w:rPr>
                          <w:rFonts w:ascii="Times New Roman" w:hAnsi="Times New Roman"/>
                        </w:rPr>
                        <w:t>网络。</w:t>
                      </w:r>
                    </w:p>
                    <w:p>
                      <w:pPr>
                        <w:spacing w:line="300" w:lineRule="auto"/>
                        <w:rPr>
                          <w:rFonts w:ascii="Times New Roman" w:hAnsi="Times New Roman"/>
                        </w:rPr>
                      </w:pPr>
                      <w:r>
                        <w:rPr>
                          <w:rFonts w:ascii="Times New Roman" w:hAnsi="Times New Roman"/>
                          <w:b/>
                        </w:rPr>
                        <w:t>产业优势：</w:t>
                      </w:r>
                      <w:r>
                        <w:rPr>
                          <w:rFonts w:ascii="Times New Roman" w:hAnsi="Times New Roman"/>
                        </w:rPr>
                        <w:t>第一产业：完成农作物播种面积13.9万亩，种植枸杞9.3万亩，新引进藜麦试种成功，特色经济作物种植面积同比增长6个百分点，特色产业体系不断健全；第二产业：重点产业项目建设扎实推进，发展盐碱化工业、建材工业、生物制品工业等；第三产业：加快实施</w:t>
                      </w:r>
                      <w:r>
                        <w:rPr>
                          <w:rFonts w:ascii="宋体" w:hAnsi="宋体"/>
                        </w:rPr>
                        <w:t>“万村千乡”市场工程，发展高原生态旅游业</w:t>
                      </w:r>
                      <w:r>
                        <w:rPr>
                          <w:rFonts w:ascii="Times New Roman" w:hAnsi="Times New Roman"/>
                        </w:rPr>
                        <w:t>，物流服务业。</w:t>
                      </w:r>
                    </w:p>
                    <w:p>
                      <w:pPr>
                        <w:spacing w:line="300" w:lineRule="auto"/>
                      </w:pPr>
                      <w:r>
                        <w:rPr>
                          <w:rFonts w:ascii="Times New Roman" w:hAnsi="Times New Roman"/>
                          <w:b/>
                        </w:rPr>
                        <w:t>学校优势：</w:t>
                      </w:r>
                      <w:r>
                        <w:rPr>
                          <w:rFonts w:hint="eastAsia" w:ascii="Times New Roman" w:hAnsi="Times New Roman"/>
                        </w:rPr>
                        <w:t>海西蒙古族藏族自治州职业技术学校</w:t>
                      </w:r>
                      <w:r>
                        <w:rPr>
                          <w:rFonts w:ascii="Times New Roman" w:hAnsi="Times New Roman"/>
                        </w:rPr>
                        <w:t>是海西地区集中职学历教育、职业技能培训、电大成人教育为一体的中等职业技术学校，2012年9月被确定为国家中等职业教育改革发展范校建设项目学校。学校开设了化工、机电、汽修、护理、</w:t>
                      </w:r>
                      <w:r>
                        <w:rPr>
                          <w:rFonts w:hint="eastAsia" w:ascii="Times New Roman" w:hAnsi="Times New Roman"/>
                          <w:lang w:val="en-US" w:eastAsia="zh-CN"/>
                        </w:rPr>
                        <w:t>幼儿保育</w:t>
                      </w:r>
                      <w:r>
                        <w:rPr>
                          <w:rFonts w:ascii="Times New Roman" w:hAnsi="Times New Roman"/>
                        </w:rPr>
                        <w:t>等</w:t>
                      </w:r>
                      <w:r>
                        <w:rPr>
                          <w:rFonts w:hint="eastAsia" w:ascii="Times New Roman" w:hAnsi="Times New Roman"/>
                          <w:highlight w:val="none"/>
                          <w:lang w:eastAsia="zh-CN"/>
                        </w:rPr>
                        <w:t>9</w:t>
                      </w:r>
                      <w:r>
                        <w:rPr>
                          <w:rFonts w:ascii="Times New Roman" w:hAnsi="Times New Roman"/>
                          <w:highlight w:val="none"/>
                        </w:rPr>
                        <w:t>个专</w:t>
                      </w:r>
                      <w:r>
                        <w:rPr>
                          <w:rFonts w:ascii="Times New Roman" w:hAnsi="Times New Roman"/>
                        </w:rPr>
                        <w:t>业。</w:t>
                      </w:r>
                    </w:p>
                  </w:txbxContent>
                </v:textbox>
              </v:shape>
            </w:pict>
          </mc:Fallback>
        </mc:AlternateContent>
      </w:r>
      <w:r>
        <w:rPr>
          <w:rFonts w:ascii="Times New Roman" w:hAnsi="Times New Roman"/>
          <w:b/>
          <w:sz w:val="28"/>
          <w:szCs w:val="28"/>
        </w:rPr>
        <w:t>学校优势</w:t>
      </w:r>
    </w:p>
    <w:p>
      <w:pPr>
        <w:widowControl/>
        <w:jc w:val="left"/>
        <w:rPr>
          <w:rFonts w:ascii="Times New Roman" w:hAnsi="Times New Roman"/>
        </w:rPr>
      </w:pPr>
      <w:r>
        <w:rPr>
          <w:rFonts w:ascii="Times New Roman" w:hAnsi="Times New Roman"/>
        </w:rPr>
        <w:br w:type="page"/>
      </w:r>
    </w:p>
    <w:p>
      <w:pPr>
        <w:pStyle w:val="5"/>
        <w:rPr>
          <w:rFonts w:ascii="Times New Roman" w:hAnsi="Times New Roman"/>
        </w:rPr>
      </w:pPr>
      <w:bookmarkStart w:id="112" w:name="_Toc16669"/>
      <w:bookmarkStart w:id="113" w:name="_Toc61256706"/>
      <w:bookmarkStart w:id="114" w:name="_Toc60765932"/>
      <w:r>
        <w:rPr>
          <w:rFonts w:hint="eastAsia" w:ascii="Times New Roman" w:hAnsi="Times New Roman"/>
        </w:rPr>
        <w:t>附件</w:t>
      </w:r>
      <w:r>
        <w:rPr>
          <w:rFonts w:ascii="Times New Roman" w:hAnsi="Times New Roman"/>
        </w:rPr>
        <w:t>2</w:t>
      </w:r>
      <w:r>
        <w:rPr>
          <w:rFonts w:hint="eastAsia" w:ascii="Times New Roman" w:hAnsi="Times New Roman"/>
        </w:rPr>
        <w:t>：调研样本统计</w:t>
      </w:r>
      <w:bookmarkEnd w:id="112"/>
      <w:bookmarkEnd w:id="113"/>
      <w:bookmarkEnd w:id="114"/>
    </w:p>
    <w:p>
      <w:pPr>
        <w:pStyle w:val="48"/>
        <w:widowControl w:val="0"/>
        <w:spacing w:line="300" w:lineRule="auto"/>
        <w:ind w:firstLine="0" w:firstLineChars="0"/>
        <w:rPr>
          <w:rFonts w:ascii="Times New Roman" w:hAnsi="Times New Roman"/>
          <w:sz w:val="24"/>
        </w:rPr>
      </w:pPr>
      <w:r>
        <w:rPr>
          <w:rFonts w:hint="eastAsia" w:ascii="Times New Roman" w:hAnsi="Times New Roman"/>
          <w:b/>
          <w:sz w:val="24"/>
        </w:rPr>
        <w:t>调研目的及对象：</w:t>
      </w:r>
      <w:r>
        <w:rPr>
          <w:rFonts w:hint="eastAsia" w:ascii="Times New Roman" w:hAnsi="Times New Roman"/>
          <w:sz w:val="24"/>
        </w:rPr>
        <w:t>为全方位了解学校教育教学情况，学校特委托第三方评价机构兴合田研究院针对毕业生、在校生、家长和用人单位等</w:t>
      </w:r>
      <w:r>
        <w:rPr>
          <w:rFonts w:ascii="Times New Roman" w:hAnsi="Times New Roman"/>
          <w:sz w:val="24"/>
        </w:rPr>
        <w:t>4</w:t>
      </w:r>
      <w:r>
        <w:rPr>
          <w:rFonts w:hint="eastAsia" w:ascii="Times New Roman" w:hAnsi="Times New Roman"/>
          <w:sz w:val="24"/>
        </w:rPr>
        <w:t>类群体设计了问卷，通过抽样调研，了解其对学校人才培养质量的评价。</w:t>
      </w:r>
    </w:p>
    <w:p>
      <w:pPr>
        <w:pStyle w:val="48"/>
        <w:widowControl w:val="0"/>
        <w:spacing w:line="300" w:lineRule="auto"/>
        <w:ind w:firstLine="0" w:firstLineChars="0"/>
        <w:rPr>
          <w:rFonts w:ascii="Times New Roman" w:hAnsi="Times New Roman"/>
          <w:sz w:val="24"/>
        </w:rPr>
      </w:pPr>
      <w:r>
        <w:rPr>
          <w:rFonts w:hint="eastAsia" w:ascii="Times New Roman" w:hAnsi="Times New Roman"/>
          <w:b/>
          <w:sz w:val="24"/>
        </w:rPr>
        <w:t>调研时间及样本要求：</w:t>
      </w:r>
      <w:r>
        <w:rPr>
          <w:rFonts w:hint="eastAsia" w:ascii="Times New Roman" w:hAnsi="Times New Roman"/>
          <w:sz w:val="24"/>
        </w:rPr>
        <w:t>数据采集周期为10个工作日。其中，（1）参与调研毕业生调查问卷的覆盖面达到当年毕业生的40%，同时每个专业至少保证参与问卷调查的毕业生在10人以上；（2）在校生各年级参与问卷调查的学生占年级总数的40%；（</w:t>
      </w:r>
      <w:r>
        <w:rPr>
          <w:rFonts w:ascii="Times New Roman" w:hAnsi="Times New Roman"/>
          <w:sz w:val="24"/>
        </w:rPr>
        <w:t>3</w:t>
      </w:r>
      <w:r>
        <w:rPr>
          <w:rFonts w:hint="eastAsia" w:ascii="Times New Roman" w:hAnsi="Times New Roman"/>
          <w:sz w:val="24"/>
        </w:rPr>
        <w:t>）参与调研用人单位达20家以上；（</w:t>
      </w:r>
      <w:r>
        <w:rPr>
          <w:rFonts w:ascii="Times New Roman" w:hAnsi="Times New Roman"/>
          <w:sz w:val="24"/>
        </w:rPr>
        <w:t>4</w:t>
      </w:r>
      <w:r>
        <w:rPr>
          <w:rFonts w:hint="eastAsia" w:ascii="Times New Roman" w:hAnsi="Times New Roman"/>
          <w:sz w:val="24"/>
        </w:rPr>
        <w:t>）参与调研家长达50位以上。</w:t>
      </w:r>
    </w:p>
    <w:p>
      <w:pPr>
        <w:pStyle w:val="48"/>
        <w:widowControl w:val="0"/>
        <w:spacing w:line="300" w:lineRule="auto"/>
        <w:ind w:firstLine="0" w:firstLineChars="0"/>
        <w:rPr>
          <w:rFonts w:ascii="Times New Roman" w:hAnsi="Times New Roman"/>
          <w:sz w:val="24"/>
        </w:rPr>
      </w:pPr>
      <w:r>
        <w:rPr>
          <w:rFonts w:hint="eastAsia" w:ascii="Times New Roman" w:hAnsi="Times New Roman"/>
          <w:b/>
          <w:sz w:val="24"/>
        </w:rPr>
        <w:t>调研工具：</w:t>
      </w:r>
      <w:r>
        <w:rPr>
          <w:rFonts w:hint="eastAsia" w:ascii="Times New Roman" w:hAnsi="Times New Roman"/>
          <w:sz w:val="24"/>
        </w:rPr>
        <w:t>调查问卷采用专业的调研系统制定，可以通过社交软件发放问卷（二维码/链接），实施在线填报。</w:t>
      </w:r>
    </w:p>
    <w:p>
      <w:pPr>
        <w:pStyle w:val="15"/>
        <w:shd w:val="clear" w:color="auto" w:fill="FFFFFF"/>
        <w:spacing w:before="0" w:beforeAutospacing="0" w:after="0" w:afterAutospacing="0" w:line="360" w:lineRule="auto"/>
        <w:jc w:val="center"/>
        <w:rPr>
          <w:rFonts w:ascii="Times New Roman" w:hAnsi="Times New Roman" w:cs="Times New Roman"/>
          <w:b/>
          <w:color w:val="000000" w:themeColor="text1"/>
          <w:kern w:val="2"/>
          <w:sz w:val="21"/>
          <w:szCs w:val="21"/>
          <w14:textFill>
            <w14:solidFill>
              <w14:schemeClr w14:val="tx1"/>
            </w14:solidFill>
          </w14:textFill>
        </w:rPr>
      </w:pPr>
      <w:r>
        <w:rPr>
          <w:rFonts w:hint="eastAsia" w:ascii="Times New Roman" w:hAnsi="Times New Roman" w:cs="Times New Roman"/>
          <w:b/>
          <w:color w:val="000000" w:themeColor="text1"/>
          <w:kern w:val="2"/>
          <w:sz w:val="21"/>
          <w:szCs w:val="21"/>
          <w14:textFill>
            <w14:solidFill>
              <w14:schemeClr w14:val="tx1"/>
            </w14:solidFill>
          </w14:textFill>
        </w:rPr>
        <w:t>调研样本统计</w:t>
      </w:r>
    </w:p>
    <w:tbl>
      <w:tblPr>
        <w:tblStyle w:val="42"/>
        <w:tblW w:w="82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2"/>
        <w:gridCol w:w="3183"/>
        <w:gridCol w:w="30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5265" w:type="dxa"/>
            <w:gridSpan w:val="2"/>
            <w:tcBorders>
              <w:bottom w:val="single" w:color="auto" w:sz="4" w:space="0"/>
            </w:tcBorders>
            <w:shd w:val="clear" w:color="auto" w:fill="C6D9F0" w:themeFill="text2" w:themeFillTint="33"/>
            <w:vAlign w:val="center"/>
          </w:tcPr>
          <w:p>
            <w:pPr>
              <w:jc w:val="center"/>
              <w:rPr>
                <w:rFonts w:ascii="Times New Roman" w:hAnsi="Times New Roman"/>
                <w:b/>
                <w:szCs w:val="21"/>
              </w:rPr>
            </w:pPr>
            <w:r>
              <w:rPr>
                <w:rFonts w:ascii="Times New Roman" w:hAnsi="Times New Roman"/>
                <w:b/>
                <w:szCs w:val="21"/>
              </w:rPr>
              <w:t>社会调查</w:t>
            </w:r>
          </w:p>
        </w:tc>
        <w:tc>
          <w:tcPr>
            <w:tcW w:w="3013" w:type="dxa"/>
            <w:shd w:val="clear" w:color="auto" w:fill="C6D9F0" w:themeFill="text2" w:themeFillTint="33"/>
            <w:vAlign w:val="center"/>
          </w:tcPr>
          <w:p>
            <w:pPr>
              <w:jc w:val="center"/>
              <w:rPr>
                <w:rFonts w:ascii="Times New Roman" w:hAnsi="Times New Roman"/>
                <w:b/>
                <w:szCs w:val="21"/>
              </w:rPr>
            </w:pPr>
            <w:r>
              <w:rPr>
                <w:rFonts w:ascii="Times New Roman" w:hAnsi="Times New Roman"/>
                <w:b/>
                <w:szCs w:val="21"/>
              </w:rPr>
              <w:t>参与调查人数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082" w:type="dxa"/>
            <w:vMerge w:val="restart"/>
            <w:vAlign w:val="center"/>
          </w:tcPr>
          <w:p>
            <w:pPr>
              <w:jc w:val="center"/>
              <w:rPr>
                <w:rFonts w:ascii="Times New Roman" w:hAnsi="Times New Roman"/>
                <w:szCs w:val="21"/>
              </w:rPr>
            </w:pPr>
            <w:r>
              <w:rPr>
                <w:rFonts w:ascii="Times New Roman" w:hAnsi="Times New Roman"/>
                <w:szCs w:val="21"/>
              </w:rPr>
              <w:t>在校生</w:t>
            </w:r>
          </w:p>
        </w:tc>
        <w:tc>
          <w:tcPr>
            <w:tcW w:w="3183" w:type="dxa"/>
            <w:vAlign w:val="center"/>
          </w:tcPr>
          <w:p>
            <w:pPr>
              <w:jc w:val="center"/>
              <w:rPr>
                <w:rFonts w:ascii="Times New Roman" w:hAnsi="Times New Roman"/>
                <w:szCs w:val="21"/>
              </w:rPr>
            </w:pPr>
            <w:r>
              <w:rPr>
                <w:rFonts w:ascii="Times New Roman" w:hAnsi="Times New Roman"/>
                <w:szCs w:val="21"/>
              </w:rPr>
              <w:t>一年级</w:t>
            </w:r>
          </w:p>
        </w:tc>
        <w:tc>
          <w:tcPr>
            <w:tcW w:w="3013" w:type="dxa"/>
            <w:vAlign w:val="center"/>
          </w:tcPr>
          <w:p>
            <w:pPr>
              <w:jc w:val="center"/>
              <w:rPr>
                <w:rFonts w:hint="default" w:ascii="Times New Roman" w:hAnsi="Times New Roman" w:eastAsia="宋体"/>
                <w:color w:val="000000"/>
                <w:szCs w:val="21"/>
                <w:lang w:val="en-US" w:eastAsia="zh-CN"/>
              </w:rPr>
            </w:pPr>
            <w:r>
              <w:rPr>
                <w:rFonts w:hint="eastAsia" w:ascii="Times New Roman" w:hAnsi="Times New Roman"/>
                <w:color w:val="000000"/>
                <w:szCs w:val="21"/>
                <w:lang w:val="en-US" w:eastAsia="zh-CN"/>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082" w:type="dxa"/>
            <w:vMerge w:val="continue"/>
            <w:vAlign w:val="center"/>
          </w:tcPr>
          <w:p>
            <w:pPr>
              <w:jc w:val="center"/>
              <w:rPr>
                <w:rFonts w:ascii="Times New Roman" w:hAnsi="Times New Roman"/>
                <w:szCs w:val="21"/>
              </w:rPr>
            </w:pPr>
          </w:p>
        </w:tc>
        <w:tc>
          <w:tcPr>
            <w:tcW w:w="3183" w:type="dxa"/>
            <w:vAlign w:val="center"/>
          </w:tcPr>
          <w:p>
            <w:pPr>
              <w:jc w:val="center"/>
              <w:rPr>
                <w:rFonts w:ascii="Times New Roman" w:hAnsi="Times New Roman"/>
                <w:szCs w:val="21"/>
              </w:rPr>
            </w:pPr>
            <w:r>
              <w:rPr>
                <w:rFonts w:ascii="Times New Roman" w:hAnsi="Times New Roman"/>
                <w:szCs w:val="21"/>
              </w:rPr>
              <w:t>二年级</w:t>
            </w:r>
          </w:p>
        </w:tc>
        <w:tc>
          <w:tcPr>
            <w:tcW w:w="3013" w:type="dxa"/>
            <w:vAlign w:val="center"/>
          </w:tcPr>
          <w:p>
            <w:pPr>
              <w:jc w:val="center"/>
              <w:rPr>
                <w:rFonts w:ascii="Times New Roman" w:hAnsi="Times New Roman"/>
                <w:color w:val="000000"/>
                <w:szCs w:val="21"/>
              </w:rPr>
            </w:pPr>
            <w:r>
              <w:rPr>
                <w:rFonts w:hint="eastAsia" w:ascii="Times New Roman" w:hAnsi="Times New Roman"/>
                <w:color w:val="000000"/>
                <w:szCs w:val="21"/>
                <w:lang w:val="en-US" w:eastAsia="zh-CN"/>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082" w:type="dxa"/>
            <w:vMerge w:val="continue"/>
            <w:vAlign w:val="center"/>
          </w:tcPr>
          <w:p>
            <w:pPr>
              <w:jc w:val="center"/>
              <w:rPr>
                <w:rFonts w:ascii="Times New Roman" w:hAnsi="Times New Roman"/>
                <w:szCs w:val="21"/>
              </w:rPr>
            </w:pPr>
          </w:p>
        </w:tc>
        <w:tc>
          <w:tcPr>
            <w:tcW w:w="3183" w:type="dxa"/>
            <w:vAlign w:val="center"/>
          </w:tcPr>
          <w:p>
            <w:pPr>
              <w:jc w:val="center"/>
              <w:rPr>
                <w:rFonts w:ascii="Times New Roman" w:hAnsi="Times New Roman"/>
                <w:szCs w:val="21"/>
              </w:rPr>
            </w:pPr>
            <w:r>
              <w:rPr>
                <w:rFonts w:ascii="Times New Roman" w:hAnsi="Times New Roman"/>
                <w:szCs w:val="21"/>
              </w:rPr>
              <w:t>三年级</w:t>
            </w:r>
          </w:p>
        </w:tc>
        <w:tc>
          <w:tcPr>
            <w:tcW w:w="3013" w:type="dxa"/>
            <w:vAlign w:val="center"/>
          </w:tcPr>
          <w:p>
            <w:pPr>
              <w:jc w:val="center"/>
              <w:rPr>
                <w:rFonts w:ascii="Times New Roman" w:hAnsi="Times New Roman"/>
                <w:color w:val="000000"/>
                <w:szCs w:val="21"/>
              </w:rPr>
            </w:pPr>
            <w:r>
              <w:rPr>
                <w:rFonts w:hint="eastAsia" w:ascii="Times New Roman" w:hAnsi="Times New Roman"/>
                <w:color w:val="000000"/>
                <w:szCs w:val="21"/>
                <w:lang w:val="en-US" w:eastAsia="zh-CN"/>
              </w:rP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082" w:type="dxa"/>
            <w:vMerge w:val="restart"/>
            <w:vAlign w:val="center"/>
          </w:tcPr>
          <w:p>
            <w:pPr>
              <w:jc w:val="center"/>
              <w:rPr>
                <w:rFonts w:ascii="Times New Roman" w:hAnsi="Times New Roman"/>
                <w:szCs w:val="21"/>
              </w:rPr>
            </w:pPr>
            <w:r>
              <w:rPr>
                <w:rFonts w:ascii="Times New Roman" w:hAnsi="Times New Roman"/>
                <w:szCs w:val="21"/>
              </w:rPr>
              <w:t>毕业生</w:t>
            </w:r>
          </w:p>
        </w:tc>
        <w:tc>
          <w:tcPr>
            <w:tcW w:w="3183" w:type="dxa"/>
            <w:vAlign w:val="center"/>
          </w:tcPr>
          <w:p>
            <w:pPr>
              <w:jc w:val="center"/>
              <w:rPr>
                <w:rFonts w:ascii="Times New Roman" w:hAnsi="Times New Roman"/>
                <w:szCs w:val="21"/>
              </w:rPr>
            </w:pPr>
            <w:r>
              <w:rPr>
                <w:rFonts w:ascii="Times New Roman" w:hAnsi="Times New Roman"/>
                <w:szCs w:val="21"/>
              </w:rPr>
              <w:t>2020年毕业生</w:t>
            </w:r>
          </w:p>
        </w:tc>
        <w:tc>
          <w:tcPr>
            <w:tcW w:w="3013" w:type="dxa"/>
            <w:vAlign w:val="center"/>
          </w:tcPr>
          <w:p>
            <w:pPr>
              <w:jc w:val="center"/>
              <w:rPr>
                <w:rFonts w:hint="eastAsia" w:ascii="Times New Roman" w:hAnsi="Times New Roman" w:eastAsia="宋体"/>
                <w:color w:val="000000"/>
                <w:szCs w:val="21"/>
                <w:lang w:eastAsia="zh-CN"/>
              </w:rPr>
            </w:pPr>
            <w:r>
              <w:rPr>
                <w:rFonts w:hint="eastAsia" w:ascii="Times New Roman" w:hAnsi="Times New Roman"/>
                <w:color w:val="000000"/>
                <w:szCs w:val="21"/>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2082" w:type="dxa"/>
            <w:vMerge w:val="continue"/>
            <w:vAlign w:val="center"/>
          </w:tcPr>
          <w:p>
            <w:pPr>
              <w:jc w:val="center"/>
              <w:rPr>
                <w:rFonts w:ascii="Times New Roman" w:hAnsi="Times New Roman"/>
                <w:szCs w:val="21"/>
              </w:rPr>
            </w:pPr>
          </w:p>
        </w:tc>
        <w:tc>
          <w:tcPr>
            <w:tcW w:w="3183" w:type="dxa"/>
            <w:vAlign w:val="center"/>
          </w:tcPr>
          <w:p>
            <w:pPr>
              <w:jc w:val="center"/>
              <w:rPr>
                <w:rFonts w:ascii="Times New Roman" w:hAnsi="Times New Roman"/>
                <w:szCs w:val="21"/>
              </w:rPr>
            </w:pPr>
            <w:r>
              <w:rPr>
                <w:rFonts w:ascii="Times New Roman" w:hAnsi="Times New Roman"/>
                <w:szCs w:val="21"/>
              </w:rPr>
              <w:t>202</w:t>
            </w:r>
            <w:r>
              <w:rPr>
                <w:rFonts w:hint="eastAsia" w:ascii="Times New Roman" w:hAnsi="Times New Roman"/>
                <w:szCs w:val="21"/>
                <w:lang w:val="en-US" w:eastAsia="zh-CN"/>
              </w:rPr>
              <w:t>1</w:t>
            </w:r>
            <w:r>
              <w:rPr>
                <w:rFonts w:ascii="Times New Roman" w:hAnsi="Times New Roman"/>
                <w:szCs w:val="21"/>
              </w:rPr>
              <w:t>年毕业生</w:t>
            </w:r>
          </w:p>
        </w:tc>
        <w:tc>
          <w:tcPr>
            <w:tcW w:w="3013" w:type="dxa"/>
            <w:vAlign w:val="center"/>
          </w:tcPr>
          <w:p>
            <w:pPr>
              <w:jc w:val="center"/>
              <w:rPr>
                <w:rFonts w:ascii="Times New Roman" w:hAnsi="Times New Roman"/>
                <w:color w:val="000000"/>
                <w:szCs w:val="21"/>
              </w:rPr>
            </w:pPr>
            <w:r>
              <w:rPr>
                <w:rFonts w:hint="eastAsia" w:ascii="Times New Roman" w:hAnsi="Times New Roman"/>
                <w:color w:val="000000"/>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5265" w:type="dxa"/>
            <w:gridSpan w:val="2"/>
            <w:vAlign w:val="center"/>
          </w:tcPr>
          <w:p>
            <w:pPr>
              <w:jc w:val="center"/>
              <w:rPr>
                <w:rFonts w:ascii="Times New Roman" w:hAnsi="Times New Roman"/>
                <w:szCs w:val="21"/>
              </w:rPr>
            </w:pPr>
            <w:r>
              <w:rPr>
                <w:rFonts w:ascii="Times New Roman" w:hAnsi="Times New Roman"/>
                <w:szCs w:val="21"/>
              </w:rPr>
              <w:t>用人单位</w:t>
            </w:r>
          </w:p>
        </w:tc>
        <w:tc>
          <w:tcPr>
            <w:tcW w:w="3013" w:type="dxa"/>
            <w:vAlign w:val="center"/>
          </w:tcPr>
          <w:p>
            <w:pPr>
              <w:jc w:val="center"/>
              <w:rPr>
                <w:rFonts w:hint="eastAsia" w:ascii="Times New Roman" w:hAnsi="Times New Roman" w:eastAsia="宋体"/>
                <w:color w:val="000000"/>
                <w:szCs w:val="21"/>
                <w:lang w:eastAsia="zh-CN"/>
              </w:rPr>
            </w:pPr>
            <w:r>
              <w:rPr>
                <w:rFonts w:hint="eastAsia" w:ascii="Times New Roman" w:hAnsi="Times New Roman"/>
                <w:color w:val="000000"/>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5265" w:type="dxa"/>
            <w:gridSpan w:val="2"/>
            <w:vAlign w:val="center"/>
          </w:tcPr>
          <w:p>
            <w:pPr>
              <w:jc w:val="center"/>
              <w:rPr>
                <w:rFonts w:ascii="Times New Roman" w:hAnsi="Times New Roman"/>
                <w:szCs w:val="21"/>
              </w:rPr>
            </w:pPr>
            <w:r>
              <w:rPr>
                <w:rFonts w:ascii="Times New Roman" w:hAnsi="Times New Roman"/>
                <w:szCs w:val="21"/>
              </w:rPr>
              <w:t>家长</w:t>
            </w:r>
          </w:p>
        </w:tc>
        <w:tc>
          <w:tcPr>
            <w:tcW w:w="3013" w:type="dxa"/>
            <w:vAlign w:val="center"/>
          </w:tcPr>
          <w:p>
            <w:pPr>
              <w:jc w:val="center"/>
              <w:rPr>
                <w:rFonts w:hint="default" w:ascii="Times New Roman" w:hAnsi="Times New Roman" w:eastAsia="宋体"/>
                <w:color w:val="000000"/>
                <w:szCs w:val="21"/>
                <w:lang w:val="en-US" w:eastAsia="zh-CN"/>
              </w:rPr>
            </w:pPr>
            <w:r>
              <w:rPr>
                <w:rFonts w:hint="eastAsia" w:ascii="Times New Roman" w:hAnsi="Times New Roman"/>
                <w:color w:val="000000"/>
                <w:szCs w:val="21"/>
                <w:lang w:val="en-US" w:eastAsia="zh-CN"/>
              </w:rPr>
              <w:t>405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5265" w:type="dxa"/>
            <w:gridSpan w:val="2"/>
            <w:vAlign w:val="center"/>
          </w:tcPr>
          <w:p>
            <w:pPr>
              <w:jc w:val="center"/>
              <w:rPr>
                <w:rFonts w:ascii="Times New Roman" w:hAnsi="Times New Roman"/>
                <w:szCs w:val="21"/>
              </w:rPr>
            </w:pPr>
            <w:r>
              <w:rPr>
                <w:rFonts w:hint="eastAsia" w:ascii="Times New Roman" w:hAnsi="Times New Roman"/>
                <w:szCs w:val="21"/>
              </w:rPr>
              <w:t>合计</w:t>
            </w:r>
          </w:p>
        </w:tc>
        <w:tc>
          <w:tcPr>
            <w:tcW w:w="3013" w:type="dxa"/>
            <w:vAlign w:val="center"/>
          </w:tcPr>
          <w:p>
            <w:pPr>
              <w:jc w:val="center"/>
              <w:rPr>
                <w:rFonts w:hint="default" w:ascii="Times New Roman" w:hAnsi="Times New Roman" w:eastAsia="宋体"/>
                <w:color w:val="000000"/>
                <w:szCs w:val="21"/>
                <w:lang w:val="en-US" w:eastAsia="zh-CN"/>
              </w:rPr>
            </w:pPr>
            <w:r>
              <w:rPr>
                <w:rFonts w:hint="eastAsia" w:ascii="Times New Roman" w:hAnsi="Times New Roman"/>
                <w:color w:val="000000"/>
                <w:szCs w:val="21"/>
                <w:lang w:val="en-US" w:eastAsia="zh-CN"/>
              </w:rPr>
              <w:t>521</w:t>
            </w:r>
          </w:p>
        </w:tc>
      </w:tr>
    </w:tbl>
    <w:p>
      <w:pPr>
        <w:rPr>
          <w:rFonts w:ascii="Times New Roman" w:hAnsi="Times New Roman"/>
        </w:rPr>
      </w:pPr>
      <w:r>
        <w:rPr>
          <w:rFonts w:ascii="Times New Roman" w:hAnsi="Times New Roman"/>
        </w:rPr>
        <w:br w:type="page"/>
      </w:r>
    </w:p>
    <w:p>
      <w:pPr>
        <w:pStyle w:val="5"/>
        <w:rPr>
          <w:rFonts w:ascii="Times New Roman" w:hAnsi="Times New Roman"/>
        </w:rPr>
      </w:pPr>
      <w:bookmarkStart w:id="115" w:name="_Toc61256707"/>
      <w:bookmarkStart w:id="116" w:name="_Toc5614"/>
      <w:r>
        <w:rPr>
          <w:rFonts w:ascii="Times New Roman" w:hAnsi="Times New Roman"/>
        </w:rPr>
        <w:t>附</w:t>
      </w:r>
      <w:r>
        <w:rPr>
          <w:rFonts w:hint="eastAsia" w:ascii="Times New Roman" w:hAnsi="Times New Roman"/>
        </w:rPr>
        <w:t>件</w:t>
      </w:r>
      <w:r>
        <w:rPr>
          <w:rFonts w:ascii="Times New Roman" w:hAnsi="Times New Roman"/>
        </w:rPr>
        <w:t>3：</w:t>
      </w:r>
      <w:r>
        <w:rPr>
          <w:rFonts w:hint="eastAsia" w:ascii="Times New Roman" w:hAnsi="Times New Roman"/>
        </w:rPr>
        <w:t>中等职业教育质量数据表</w:t>
      </w:r>
      <w:bookmarkEnd w:id="115"/>
      <w:bookmarkEnd w:id="116"/>
    </w:p>
    <w:tbl>
      <w:tblPr>
        <w:tblStyle w:val="17"/>
        <w:tblW w:w="8522" w:type="dxa"/>
        <w:jc w:val="center"/>
        <w:shd w:val="clear" w:color="auto" w:fill="auto"/>
        <w:tblLayout w:type="fixed"/>
        <w:tblCellMar>
          <w:top w:w="0" w:type="dxa"/>
          <w:left w:w="108" w:type="dxa"/>
          <w:bottom w:w="0" w:type="dxa"/>
          <w:right w:w="108" w:type="dxa"/>
        </w:tblCellMar>
      </w:tblPr>
      <w:tblGrid>
        <w:gridCol w:w="1039"/>
        <w:gridCol w:w="4092"/>
        <w:gridCol w:w="1008"/>
        <w:gridCol w:w="1161"/>
        <w:gridCol w:w="1222"/>
      </w:tblGrid>
      <w:tr>
        <w:tblPrEx>
          <w:shd w:val="clear" w:color="auto" w:fill="auto"/>
          <w:tblCellMar>
            <w:top w:w="0" w:type="dxa"/>
            <w:left w:w="108" w:type="dxa"/>
            <w:bottom w:w="0" w:type="dxa"/>
            <w:right w:w="108" w:type="dxa"/>
          </w:tblCellMar>
        </w:tblPrEx>
        <w:trPr>
          <w:trHeight w:val="449"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C7DAF1" w:themeFill="text2" w:themeFillTint="32"/>
            <w:noWrap/>
            <w:vAlign w:val="center"/>
          </w:tcPr>
          <w:p>
            <w:pPr>
              <w:keepNext w:val="0"/>
              <w:keepLines w:val="0"/>
              <w:pageBreakBefore w:val="0"/>
              <w:widowControl/>
              <w:suppressLineNumbers w:val="0"/>
              <w:kinsoku/>
              <w:wordWrap/>
              <w:overflowPunct/>
              <w:topLinePunct w:val="0"/>
              <w:autoSpaceDE/>
              <w:autoSpaceDN/>
              <w:bidi w:val="0"/>
              <w:adjustRightInd w:val="0"/>
              <w:snapToGrid w:val="0"/>
              <w:spacing w:line="288" w:lineRule="auto"/>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序号</w:t>
            </w:r>
          </w:p>
        </w:tc>
        <w:tc>
          <w:tcPr>
            <w:tcW w:w="4092" w:type="dxa"/>
            <w:tcBorders>
              <w:top w:val="single" w:color="000000" w:sz="4" w:space="0"/>
              <w:left w:val="single" w:color="000000" w:sz="4" w:space="0"/>
              <w:bottom w:val="single" w:color="000000" w:sz="4" w:space="0"/>
              <w:right w:val="single" w:color="000000" w:sz="4" w:space="0"/>
            </w:tcBorders>
            <w:shd w:val="clear" w:color="auto" w:fill="C7DAF1" w:themeFill="text2" w:themeFillTint="32"/>
            <w:vAlign w:val="center"/>
          </w:tcPr>
          <w:p>
            <w:pPr>
              <w:keepNext w:val="0"/>
              <w:keepLines w:val="0"/>
              <w:pageBreakBefore w:val="0"/>
              <w:widowControl/>
              <w:suppressLineNumbers w:val="0"/>
              <w:kinsoku/>
              <w:wordWrap/>
              <w:overflowPunct/>
              <w:topLinePunct w:val="0"/>
              <w:autoSpaceDE/>
              <w:autoSpaceDN/>
              <w:bidi w:val="0"/>
              <w:adjustRightInd w:val="0"/>
              <w:snapToGrid w:val="0"/>
              <w:spacing w:line="288" w:lineRule="auto"/>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指标</w:t>
            </w:r>
          </w:p>
        </w:tc>
        <w:tc>
          <w:tcPr>
            <w:tcW w:w="1008" w:type="dxa"/>
            <w:tcBorders>
              <w:top w:val="single" w:color="000000" w:sz="4" w:space="0"/>
              <w:left w:val="single" w:color="000000" w:sz="4" w:space="0"/>
              <w:bottom w:val="single" w:color="000000" w:sz="4" w:space="0"/>
              <w:right w:val="single" w:color="000000" w:sz="4" w:space="0"/>
            </w:tcBorders>
            <w:shd w:val="clear" w:color="auto" w:fill="C7DAF1" w:themeFill="text2" w:themeFillTint="32"/>
            <w:vAlign w:val="center"/>
          </w:tcPr>
          <w:p>
            <w:pPr>
              <w:keepNext w:val="0"/>
              <w:keepLines w:val="0"/>
              <w:pageBreakBefore w:val="0"/>
              <w:widowControl/>
              <w:suppressLineNumbers w:val="0"/>
              <w:kinsoku/>
              <w:wordWrap/>
              <w:overflowPunct/>
              <w:topLinePunct w:val="0"/>
              <w:autoSpaceDE/>
              <w:autoSpaceDN/>
              <w:bidi w:val="0"/>
              <w:adjustRightInd w:val="0"/>
              <w:snapToGrid w:val="0"/>
              <w:spacing w:line="288" w:lineRule="auto"/>
              <w:jc w:val="center"/>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单位</w:t>
            </w:r>
          </w:p>
        </w:tc>
        <w:tc>
          <w:tcPr>
            <w:tcW w:w="1161" w:type="dxa"/>
            <w:tcBorders>
              <w:top w:val="single" w:color="000000" w:sz="4" w:space="0"/>
              <w:left w:val="single" w:color="000000" w:sz="4" w:space="0"/>
              <w:bottom w:val="single" w:color="000000" w:sz="4" w:space="0"/>
              <w:right w:val="single" w:color="000000" w:sz="4" w:space="0"/>
            </w:tcBorders>
            <w:shd w:val="clear" w:color="auto" w:fill="C7DAF1" w:themeFill="text2" w:themeFillTint="32"/>
            <w:vAlign w:val="center"/>
          </w:tcPr>
          <w:p>
            <w:pPr>
              <w:keepNext w:val="0"/>
              <w:keepLines w:val="0"/>
              <w:pageBreakBefore w:val="0"/>
              <w:widowControl/>
              <w:suppressLineNumbers w:val="0"/>
              <w:kinsoku/>
              <w:wordWrap/>
              <w:overflowPunct/>
              <w:topLinePunct w:val="0"/>
              <w:autoSpaceDE/>
              <w:autoSpaceDN/>
              <w:bidi w:val="0"/>
              <w:adjustRightInd w:val="0"/>
              <w:snapToGrid w:val="0"/>
              <w:spacing w:line="288" w:lineRule="auto"/>
              <w:jc w:val="left"/>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2020年</w:t>
            </w:r>
          </w:p>
        </w:tc>
        <w:tc>
          <w:tcPr>
            <w:tcW w:w="1222" w:type="dxa"/>
            <w:tcBorders>
              <w:top w:val="single" w:color="000000" w:sz="4" w:space="0"/>
              <w:left w:val="single" w:color="000000" w:sz="4" w:space="0"/>
              <w:bottom w:val="single" w:color="000000" w:sz="4" w:space="0"/>
              <w:right w:val="single" w:color="000000" w:sz="4" w:space="0"/>
            </w:tcBorders>
            <w:shd w:val="clear" w:color="auto" w:fill="C7DAF1" w:themeFill="text2" w:themeFillTint="32"/>
            <w:vAlign w:val="center"/>
          </w:tcPr>
          <w:p>
            <w:pPr>
              <w:keepNext w:val="0"/>
              <w:keepLines w:val="0"/>
              <w:pageBreakBefore w:val="0"/>
              <w:widowControl/>
              <w:suppressLineNumbers w:val="0"/>
              <w:kinsoku/>
              <w:wordWrap/>
              <w:overflowPunct/>
              <w:topLinePunct w:val="0"/>
              <w:autoSpaceDE/>
              <w:autoSpaceDN/>
              <w:bidi w:val="0"/>
              <w:adjustRightInd w:val="0"/>
              <w:snapToGrid w:val="0"/>
              <w:spacing w:line="288" w:lineRule="auto"/>
              <w:jc w:val="left"/>
              <w:textAlignment w:val="center"/>
              <w:rPr>
                <w:rFonts w:hint="default" w:ascii="Times New Roman" w:hAnsi="Times New Roman" w:eastAsia="仿宋_GB2312" w:cs="Times New Roman"/>
                <w:b/>
                <w:bCs/>
                <w:i w:val="0"/>
                <w:iCs w:val="0"/>
                <w:color w:val="000000"/>
                <w:sz w:val="24"/>
                <w:szCs w:val="24"/>
                <w:u w:val="none"/>
              </w:rPr>
            </w:pPr>
            <w:r>
              <w:rPr>
                <w:rFonts w:hint="default" w:ascii="Times New Roman" w:hAnsi="Times New Roman" w:eastAsia="仿宋_GB2312" w:cs="Times New Roman"/>
                <w:b/>
                <w:bCs/>
                <w:i w:val="0"/>
                <w:iCs w:val="0"/>
                <w:color w:val="000000"/>
                <w:kern w:val="0"/>
                <w:sz w:val="24"/>
                <w:szCs w:val="24"/>
                <w:u w:val="none"/>
                <w:lang w:val="en-US" w:eastAsia="zh-CN" w:bidi="ar"/>
              </w:rPr>
              <w:t>2021年</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思想政治课专任教师数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14</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18</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德育管理人员数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58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63</w:t>
            </w:r>
          </w:p>
        </w:tc>
      </w:tr>
      <w:tr>
        <w:tblPrEx>
          <w:shd w:val="clear" w:color="auto" w:fill="auto"/>
          <w:tblCellMar>
            <w:top w:w="0" w:type="dxa"/>
            <w:left w:w="108" w:type="dxa"/>
            <w:bottom w:w="0" w:type="dxa"/>
            <w:right w:w="108" w:type="dxa"/>
          </w:tblCellMar>
        </w:tblPrEx>
        <w:trPr>
          <w:trHeight w:val="285" w:hRule="atLeast"/>
          <w:jc w:val="center"/>
        </w:trPr>
        <w:tc>
          <w:tcPr>
            <w:tcW w:w="10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名班主任工作室数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个</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eastAsia"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r>
      <w:tr>
        <w:tblPrEx>
          <w:shd w:val="clear" w:color="auto" w:fill="auto"/>
          <w:tblCellMar>
            <w:top w:w="0" w:type="dxa"/>
            <w:left w:w="108" w:type="dxa"/>
            <w:bottom w:w="0" w:type="dxa"/>
            <w:right w:w="108" w:type="dxa"/>
          </w:tblCellMar>
        </w:tblPrEx>
        <w:trPr>
          <w:trHeight w:val="285" w:hRule="atLeast"/>
          <w:jc w:val="center"/>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center"/>
              <w:rPr>
                <w:rFonts w:hint="default" w:ascii="Times New Roman" w:hAnsi="Times New Roman" w:eastAsia="仿宋_GB2312" w:cs="Times New Roman"/>
                <w:i w:val="0"/>
                <w:iCs w:val="0"/>
                <w:color w:val="000000"/>
                <w:sz w:val="24"/>
                <w:szCs w:val="24"/>
                <w:u w:val="none"/>
              </w:rPr>
            </w:pP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 xml:space="preserve">    其中：国家级</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个</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r>
      <w:tr>
        <w:tblPrEx>
          <w:shd w:val="clear" w:color="auto" w:fill="auto"/>
          <w:tblCellMar>
            <w:top w:w="0" w:type="dxa"/>
            <w:left w:w="108" w:type="dxa"/>
            <w:bottom w:w="0" w:type="dxa"/>
            <w:right w:w="108" w:type="dxa"/>
          </w:tblCellMar>
        </w:tblPrEx>
        <w:trPr>
          <w:trHeight w:val="285" w:hRule="atLeast"/>
          <w:jc w:val="center"/>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center"/>
              <w:rPr>
                <w:rFonts w:hint="default" w:ascii="Times New Roman" w:hAnsi="Times New Roman" w:eastAsia="仿宋_GB2312" w:cs="Times New Roman"/>
                <w:i w:val="0"/>
                <w:iCs w:val="0"/>
                <w:color w:val="000000"/>
                <w:sz w:val="24"/>
                <w:szCs w:val="24"/>
                <w:u w:val="none"/>
              </w:rPr>
            </w:pP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 xml:space="preserve">          省级</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个</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r>
      <w:tr>
        <w:tblPrEx>
          <w:shd w:val="clear" w:color="auto" w:fill="auto"/>
          <w:tblCellMar>
            <w:top w:w="0" w:type="dxa"/>
            <w:left w:w="108" w:type="dxa"/>
            <w:bottom w:w="0" w:type="dxa"/>
            <w:right w:w="108" w:type="dxa"/>
          </w:tblCellMar>
        </w:tblPrEx>
        <w:trPr>
          <w:trHeight w:val="285" w:hRule="atLeast"/>
          <w:jc w:val="center"/>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center"/>
              <w:rPr>
                <w:rFonts w:hint="default" w:ascii="Times New Roman" w:hAnsi="Times New Roman" w:eastAsia="仿宋_GB2312" w:cs="Times New Roman"/>
                <w:i w:val="0"/>
                <w:iCs w:val="0"/>
                <w:color w:val="000000"/>
                <w:sz w:val="24"/>
                <w:szCs w:val="24"/>
                <w:u w:val="none"/>
              </w:rPr>
            </w:pP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 xml:space="preserve">          地市级</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个</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r>
      <w:tr>
        <w:tblPrEx>
          <w:shd w:val="clear" w:color="auto" w:fill="auto"/>
          <w:tblCellMar>
            <w:top w:w="0" w:type="dxa"/>
            <w:left w:w="108" w:type="dxa"/>
            <w:bottom w:w="0" w:type="dxa"/>
            <w:right w:w="108" w:type="dxa"/>
          </w:tblCellMar>
        </w:tblPrEx>
        <w:trPr>
          <w:trHeight w:val="285" w:hRule="atLeast"/>
          <w:jc w:val="center"/>
        </w:trPr>
        <w:tc>
          <w:tcPr>
            <w:tcW w:w="10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思想政治课教学创新团队数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个</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eastAsia"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r>
      <w:tr>
        <w:tblPrEx>
          <w:shd w:val="clear" w:color="auto" w:fill="auto"/>
          <w:tblCellMar>
            <w:top w:w="0" w:type="dxa"/>
            <w:left w:w="108" w:type="dxa"/>
            <w:bottom w:w="0" w:type="dxa"/>
            <w:right w:w="108" w:type="dxa"/>
          </w:tblCellMar>
        </w:tblPrEx>
        <w:trPr>
          <w:trHeight w:val="285" w:hRule="atLeast"/>
          <w:jc w:val="center"/>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center"/>
              <w:rPr>
                <w:rFonts w:hint="default" w:ascii="Times New Roman" w:hAnsi="Times New Roman" w:eastAsia="仿宋_GB2312" w:cs="Times New Roman"/>
                <w:i w:val="0"/>
                <w:iCs w:val="0"/>
                <w:color w:val="000000"/>
                <w:sz w:val="24"/>
                <w:szCs w:val="24"/>
                <w:u w:val="none"/>
              </w:rPr>
            </w:pP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 xml:space="preserve">    其中：国家级</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个</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eastAsia"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r>
      <w:tr>
        <w:tblPrEx>
          <w:shd w:val="clear" w:color="auto" w:fill="auto"/>
          <w:tblCellMar>
            <w:top w:w="0" w:type="dxa"/>
            <w:left w:w="108" w:type="dxa"/>
            <w:bottom w:w="0" w:type="dxa"/>
            <w:right w:w="108" w:type="dxa"/>
          </w:tblCellMar>
        </w:tblPrEx>
        <w:trPr>
          <w:trHeight w:val="285" w:hRule="atLeast"/>
          <w:jc w:val="center"/>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center"/>
              <w:rPr>
                <w:rFonts w:hint="default" w:ascii="Times New Roman" w:hAnsi="Times New Roman" w:eastAsia="仿宋_GB2312" w:cs="Times New Roman"/>
                <w:i w:val="0"/>
                <w:iCs w:val="0"/>
                <w:color w:val="000000"/>
                <w:sz w:val="24"/>
                <w:szCs w:val="24"/>
                <w:u w:val="none"/>
              </w:rPr>
            </w:pP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 xml:space="preserve">          省级</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个</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eastAsia"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r>
      <w:tr>
        <w:tblPrEx>
          <w:shd w:val="clear" w:color="auto" w:fill="auto"/>
          <w:tblCellMar>
            <w:top w:w="0" w:type="dxa"/>
            <w:left w:w="108" w:type="dxa"/>
            <w:bottom w:w="0" w:type="dxa"/>
            <w:right w:w="108" w:type="dxa"/>
          </w:tblCellMar>
        </w:tblPrEx>
        <w:trPr>
          <w:trHeight w:val="285" w:hRule="atLeast"/>
          <w:jc w:val="center"/>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center"/>
              <w:rPr>
                <w:rFonts w:hint="default" w:ascii="Times New Roman" w:hAnsi="Times New Roman" w:eastAsia="仿宋_GB2312" w:cs="Times New Roman"/>
                <w:i w:val="0"/>
                <w:iCs w:val="0"/>
                <w:color w:val="000000"/>
                <w:sz w:val="24"/>
                <w:szCs w:val="24"/>
                <w:u w:val="none"/>
              </w:rPr>
            </w:pP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 xml:space="preserve">          地市级</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个</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eastAsia"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r>
      <w:tr>
        <w:tblPrEx>
          <w:shd w:val="clear" w:color="auto" w:fill="auto"/>
          <w:tblCellMar>
            <w:top w:w="0" w:type="dxa"/>
            <w:left w:w="108" w:type="dxa"/>
            <w:bottom w:w="0" w:type="dxa"/>
            <w:right w:w="108" w:type="dxa"/>
          </w:tblCellMar>
        </w:tblPrEx>
        <w:trPr>
          <w:trHeight w:val="285" w:hRule="atLeast"/>
          <w:jc w:val="center"/>
        </w:trPr>
        <w:tc>
          <w:tcPr>
            <w:tcW w:w="103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思想政治课示范课堂数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个</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eastAsia"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r>
      <w:tr>
        <w:tblPrEx>
          <w:shd w:val="clear" w:color="auto" w:fill="auto"/>
          <w:tblCellMar>
            <w:top w:w="0" w:type="dxa"/>
            <w:left w:w="108" w:type="dxa"/>
            <w:bottom w:w="0" w:type="dxa"/>
            <w:right w:w="108" w:type="dxa"/>
          </w:tblCellMar>
        </w:tblPrEx>
        <w:trPr>
          <w:trHeight w:val="285" w:hRule="atLeast"/>
          <w:jc w:val="center"/>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center"/>
              <w:rPr>
                <w:rFonts w:hint="default" w:ascii="Times New Roman" w:hAnsi="Times New Roman" w:eastAsia="仿宋_GB2312" w:cs="Times New Roman"/>
                <w:i w:val="0"/>
                <w:iCs w:val="0"/>
                <w:color w:val="000000"/>
                <w:sz w:val="24"/>
                <w:szCs w:val="24"/>
                <w:u w:val="none"/>
              </w:rPr>
            </w:pP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ind w:firstLine="480" w:firstLineChars="200"/>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其中：国家级</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个</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eastAsia"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r>
      <w:tr>
        <w:tblPrEx>
          <w:shd w:val="clear" w:color="auto" w:fill="auto"/>
          <w:tblCellMar>
            <w:top w:w="0" w:type="dxa"/>
            <w:left w:w="108" w:type="dxa"/>
            <w:bottom w:w="0" w:type="dxa"/>
            <w:right w:w="108" w:type="dxa"/>
          </w:tblCellMar>
        </w:tblPrEx>
        <w:trPr>
          <w:trHeight w:val="285" w:hRule="atLeast"/>
          <w:jc w:val="center"/>
        </w:trPr>
        <w:tc>
          <w:tcPr>
            <w:tcW w:w="103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center"/>
              <w:rPr>
                <w:rFonts w:hint="default" w:ascii="Times New Roman" w:hAnsi="Times New Roman" w:eastAsia="仿宋_GB2312" w:cs="Times New Roman"/>
                <w:i w:val="0"/>
                <w:iCs w:val="0"/>
                <w:color w:val="000000"/>
                <w:sz w:val="24"/>
                <w:szCs w:val="24"/>
                <w:u w:val="none"/>
              </w:rPr>
            </w:pP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 xml:space="preserve">          省级</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个</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eastAsia"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6</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就业单位对毕业生职业素养的满意度</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就业单位对毕业生职业技能的满意度</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8</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体育课专任教师数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18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18</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9</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美育课专任教师数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37</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34</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学生文化基础课合格率</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99</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11</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学生体质测评合格率</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95</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91</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12</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毕业生总数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278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365</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13</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就业（含升学）人数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262</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350</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14</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在规模以上企业就业人数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15</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在中小微企业就业人数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16</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毕业生专业对口就业率</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17</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通过职教高考升学人数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7</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18</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通过对口单独招生升学人数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358</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328</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19</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通过中本贯通升学人数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通过中高贯通升学人数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21</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通过技能拔尖人才免试升学人数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23</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升入本科院校人数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24</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升入高职高专院校人数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r>
      <w:tr>
        <w:tblPrEx>
          <w:shd w:val="clear" w:color="auto" w:fill="auto"/>
          <w:tblCellMar>
            <w:top w:w="0" w:type="dxa"/>
            <w:left w:w="108" w:type="dxa"/>
            <w:bottom w:w="0" w:type="dxa"/>
            <w:right w:w="108" w:type="dxa"/>
          </w:tblCellMar>
        </w:tblPrEx>
        <w:trPr>
          <w:trHeight w:val="570"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25</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其他升学人数（含留学、成人教育、自学考试）</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26</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eastAsia" w:ascii="Times New Roman" w:hAnsi="Times New Roman" w:eastAsia="仿宋_GB2312" w:cs="Times New Roman"/>
                <w:i w:val="0"/>
                <w:iCs w:val="0"/>
                <w:color w:val="000000"/>
                <w:kern w:val="0"/>
                <w:sz w:val="24"/>
                <w:szCs w:val="24"/>
                <w:u w:val="none"/>
                <w:lang w:val="en-US" w:eastAsia="zh-CN" w:bidi="ar"/>
              </w:rPr>
              <w:t>全国</w:t>
            </w:r>
            <w:r>
              <w:rPr>
                <w:rFonts w:hint="default" w:ascii="Times New Roman" w:hAnsi="Times New Roman" w:eastAsia="仿宋_GB2312" w:cs="Times New Roman"/>
                <w:i w:val="0"/>
                <w:iCs w:val="0"/>
                <w:color w:val="000000"/>
                <w:kern w:val="0"/>
                <w:sz w:val="24"/>
                <w:szCs w:val="24"/>
                <w:u w:val="none"/>
                <w:lang w:val="en-US" w:eastAsia="zh-CN" w:bidi="ar"/>
              </w:rPr>
              <w:t>职业</w:t>
            </w:r>
            <w:r>
              <w:rPr>
                <w:rFonts w:hint="eastAsia" w:ascii="Times New Roman" w:hAnsi="Times New Roman" w:eastAsia="仿宋_GB2312" w:cs="Times New Roman"/>
                <w:i w:val="0"/>
                <w:iCs w:val="0"/>
                <w:color w:val="000000"/>
                <w:kern w:val="0"/>
                <w:sz w:val="24"/>
                <w:szCs w:val="24"/>
                <w:u w:val="none"/>
                <w:lang w:val="en-US" w:eastAsia="zh-CN" w:bidi="ar"/>
              </w:rPr>
              <w:t>院校</w:t>
            </w:r>
            <w:r>
              <w:rPr>
                <w:rFonts w:hint="default" w:ascii="Times New Roman" w:hAnsi="Times New Roman" w:eastAsia="仿宋_GB2312" w:cs="Times New Roman"/>
                <w:i w:val="0"/>
                <w:iCs w:val="0"/>
                <w:color w:val="000000"/>
                <w:kern w:val="0"/>
                <w:sz w:val="24"/>
                <w:szCs w:val="24"/>
                <w:u w:val="none"/>
                <w:lang w:val="en-US" w:eastAsia="zh-CN" w:bidi="ar"/>
              </w:rPr>
              <w:t>技能大赛学生获奖数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个</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27</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仿宋_GB2312" w:cs="Times New Roman"/>
                <w:i w:val="0"/>
                <w:iCs w:val="0"/>
                <w:color w:val="000000"/>
                <w:kern w:val="0"/>
                <w:sz w:val="24"/>
                <w:szCs w:val="24"/>
                <w:u w:val="none"/>
                <w:lang w:val="en-US" w:eastAsia="zh-CN" w:bidi="ar"/>
              </w:rPr>
              <w:t>全国职业技能大赛学生获奖数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eastAsia" w:ascii="Times New Roman" w:hAnsi="Times New Roman" w:eastAsia="仿宋_GB2312" w:cs="Times New Roman"/>
                <w:i w:val="0"/>
                <w:iCs w:val="0"/>
                <w:color w:val="000000"/>
                <w:kern w:val="0"/>
                <w:sz w:val="24"/>
                <w:szCs w:val="24"/>
                <w:u w:val="none"/>
                <w:lang w:val="en-US" w:eastAsia="zh-CN" w:bidi="ar"/>
              </w:rPr>
              <w:t>个</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r>
      <w:tr>
        <w:tblPrEx>
          <w:shd w:val="clear" w:color="auto" w:fill="auto"/>
          <w:tblCellMar>
            <w:top w:w="0" w:type="dxa"/>
            <w:left w:w="108" w:type="dxa"/>
            <w:bottom w:w="0" w:type="dxa"/>
            <w:right w:w="108" w:type="dxa"/>
          </w:tblCellMar>
        </w:tblPrEx>
        <w:trPr>
          <w:trHeight w:val="570"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w:t>
            </w:r>
            <w:r>
              <w:rPr>
                <w:rFonts w:hint="eastAsia" w:ascii="Times New Roman" w:hAnsi="Times New Roman" w:eastAsia="仿宋_GB2312" w:cs="Times New Roman"/>
                <w:i w:val="0"/>
                <w:iCs w:val="0"/>
                <w:color w:val="000000"/>
                <w:kern w:val="0"/>
                <w:sz w:val="24"/>
                <w:szCs w:val="24"/>
                <w:u w:val="none"/>
                <w:lang w:val="en-US" w:eastAsia="zh-CN" w:bidi="ar"/>
              </w:rPr>
              <w:t>8</w:t>
            </w:r>
          </w:p>
        </w:tc>
        <w:tc>
          <w:tcPr>
            <w:tcW w:w="40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val="0"/>
              <w:snapToGrid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职业技能等级证书（含职业资格证书）获取人数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78</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w:t>
            </w:r>
            <w:r>
              <w:rPr>
                <w:rFonts w:hint="eastAsia" w:ascii="Times New Roman" w:hAnsi="Times New Roman" w:eastAsia="仿宋_GB2312" w:cs="Times New Roman"/>
                <w:i w:val="0"/>
                <w:iCs w:val="0"/>
                <w:color w:val="000000"/>
                <w:kern w:val="0"/>
                <w:sz w:val="24"/>
                <w:szCs w:val="24"/>
                <w:u w:val="none"/>
                <w:lang w:val="en-US" w:eastAsia="zh-CN" w:bidi="ar"/>
              </w:rPr>
              <w:t>9</w:t>
            </w:r>
          </w:p>
        </w:tc>
        <w:tc>
          <w:tcPr>
            <w:tcW w:w="4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全日制在校生数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1284</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1463</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lang w:val="en-US"/>
              </w:rPr>
            </w:pPr>
            <w:r>
              <w:rPr>
                <w:rFonts w:hint="eastAsia" w:ascii="Times New Roman" w:hAnsi="Times New Roman" w:eastAsia="仿宋_GB2312" w:cs="Times New Roman"/>
                <w:i w:val="0"/>
                <w:iCs w:val="0"/>
                <w:color w:val="000000"/>
                <w:kern w:val="0"/>
                <w:sz w:val="24"/>
                <w:szCs w:val="24"/>
                <w:u w:val="none"/>
                <w:lang w:val="en-US" w:eastAsia="zh-CN" w:bidi="ar"/>
              </w:rPr>
              <w:t>30</w:t>
            </w:r>
          </w:p>
        </w:tc>
        <w:tc>
          <w:tcPr>
            <w:tcW w:w="4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生均校园占地面积</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平方米</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240.75</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216.23</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w:t>
            </w:r>
            <w:r>
              <w:rPr>
                <w:rFonts w:hint="eastAsia" w:ascii="Times New Roman" w:hAnsi="Times New Roman" w:eastAsia="仿宋_GB2312" w:cs="Times New Roman"/>
                <w:i w:val="0"/>
                <w:iCs w:val="0"/>
                <w:color w:val="000000"/>
                <w:kern w:val="0"/>
                <w:sz w:val="24"/>
                <w:szCs w:val="24"/>
                <w:u w:val="none"/>
                <w:lang w:val="en-US" w:eastAsia="zh-CN" w:bidi="ar"/>
              </w:rPr>
              <w:t>1</w:t>
            </w:r>
          </w:p>
        </w:tc>
        <w:tc>
          <w:tcPr>
            <w:tcW w:w="4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生均校舍建筑面积</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平方米</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55.71</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50.04</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w:t>
            </w:r>
            <w:r>
              <w:rPr>
                <w:rFonts w:hint="eastAsia" w:ascii="Times New Roman" w:hAnsi="Times New Roman" w:eastAsia="仿宋_GB2312" w:cs="Times New Roman"/>
                <w:i w:val="0"/>
                <w:iCs w:val="0"/>
                <w:color w:val="000000"/>
                <w:kern w:val="0"/>
                <w:sz w:val="24"/>
                <w:szCs w:val="24"/>
                <w:u w:val="none"/>
                <w:lang w:val="en-US" w:eastAsia="zh-CN" w:bidi="ar"/>
              </w:rPr>
              <w:t>2</w:t>
            </w:r>
          </w:p>
        </w:tc>
        <w:tc>
          <w:tcPr>
            <w:tcW w:w="4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生均教学仪器设备值</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元</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10067.94</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6745.75</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w:t>
            </w:r>
            <w:r>
              <w:rPr>
                <w:rFonts w:hint="eastAsia" w:ascii="Times New Roman" w:hAnsi="Times New Roman" w:eastAsia="仿宋_GB2312" w:cs="Times New Roman"/>
                <w:i w:val="0"/>
                <w:iCs w:val="0"/>
                <w:color w:val="000000"/>
                <w:kern w:val="0"/>
                <w:sz w:val="24"/>
                <w:szCs w:val="24"/>
                <w:u w:val="none"/>
                <w:lang w:val="en-US" w:eastAsia="zh-CN" w:bidi="ar"/>
              </w:rPr>
              <w:t>3</w:t>
            </w:r>
          </w:p>
        </w:tc>
        <w:tc>
          <w:tcPr>
            <w:tcW w:w="4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年生均财政拨款</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元</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3200</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3200</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w:t>
            </w:r>
            <w:r>
              <w:rPr>
                <w:rFonts w:hint="eastAsia" w:ascii="Times New Roman" w:hAnsi="Times New Roman" w:eastAsia="仿宋_GB2312" w:cs="Times New Roman"/>
                <w:i w:val="0"/>
                <w:iCs w:val="0"/>
                <w:color w:val="000000"/>
                <w:kern w:val="0"/>
                <w:sz w:val="24"/>
                <w:szCs w:val="24"/>
                <w:u w:val="none"/>
                <w:lang w:val="en-US" w:eastAsia="zh-CN" w:bidi="ar"/>
              </w:rPr>
              <w:t>4</w:t>
            </w:r>
          </w:p>
        </w:tc>
        <w:tc>
          <w:tcPr>
            <w:tcW w:w="40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纸质图书数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册</w:t>
            </w:r>
          </w:p>
        </w:tc>
        <w:tc>
          <w:tcPr>
            <w:tcW w:w="11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195000</w:t>
            </w:r>
          </w:p>
        </w:tc>
        <w:tc>
          <w:tcPr>
            <w:tcW w:w="12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225200</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w:t>
            </w:r>
            <w:r>
              <w:rPr>
                <w:rFonts w:hint="eastAsia" w:ascii="Times New Roman" w:hAnsi="Times New Roman" w:eastAsia="仿宋_GB2312" w:cs="Times New Roman"/>
                <w:i w:val="0"/>
                <w:iCs w:val="0"/>
                <w:color w:val="000000"/>
                <w:kern w:val="0"/>
                <w:sz w:val="24"/>
                <w:szCs w:val="24"/>
                <w:u w:val="none"/>
                <w:lang w:val="en-US" w:eastAsia="zh-CN" w:bidi="ar"/>
              </w:rPr>
              <w:t>5</w:t>
            </w:r>
          </w:p>
        </w:tc>
        <w:tc>
          <w:tcPr>
            <w:tcW w:w="4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lang w:val="en-US"/>
              </w:rPr>
            </w:pPr>
            <w:r>
              <w:rPr>
                <w:rFonts w:hint="default" w:ascii="Times New Roman" w:hAnsi="Times New Roman" w:eastAsia="仿宋_GB2312" w:cs="Times New Roman"/>
                <w:i w:val="0"/>
                <w:iCs w:val="0"/>
                <w:color w:val="000000"/>
                <w:kern w:val="0"/>
                <w:sz w:val="24"/>
                <w:szCs w:val="24"/>
                <w:u w:val="none"/>
                <w:lang w:val="en-US" w:eastAsia="zh-CN" w:bidi="ar"/>
              </w:rPr>
              <w:t>电子图书</w:t>
            </w:r>
            <w:r>
              <w:rPr>
                <w:rFonts w:hint="eastAsia" w:ascii="Times New Roman" w:hAnsi="Times New Roman" w:eastAsia="仿宋_GB2312" w:cs="Times New Roman"/>
                <w:i w:val="0"/>
                <w:iCs w:val="0"/>
                <w:color w:val="000000"/>
                <w:kern w:val="0"/>
                <w:sz w:val="24"/>
                <w:szCs w:val="24"/>
                <w:u w:val="none"/>
                <w:lang w:val="en-US" w:eastAsia="zh-CN" w:bidi="ar"/>
              </w:rPr>
              <w:t>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册</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11000</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20000</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w:t>
            </w:r>
            <w:r>
              <w:rPr>
                <w:rFonts w:hint="eastAsia" w:ascii="Times New Roman" w:hAnsi="Times New Roman" w:eastAsia="仿宋_GB2312" w:cs="Times New Roman"/>
                <w:i w:val="0"/>
                <w:iCs w:val="0"/>
                <w:color w:val="000000"/>
                <w:kern w:val="0"/>
                <w:sz w:val="24"/>
                <w:szCs w:val="24"/>
                <w:u w:val="none"/>
                <w:lang w:val="en-US" w:eastAsia="zh-CN" w:bidi="ar"/>
              </w:rPr>
              <w:t>6</w:t>
            </w:r>
          </w:p>
        </w:tc>
        <w:tc>
          <w:tcPr>
            <w:tcW w:w="4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 xml:space="preserve">校园网主干最大带宽 </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Mbps</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1100</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3800</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w:t>
            </w:r>
            <w:r>
              <w:rPr>
                <w:rFonts w:hint="eastAsia" w:ascii="Times New Roman" w:hAnsi="Times New Roman" w:eastAsia="仿宋_GB2312" w:cs="Times New Roman"/>
                <w:i w:val="0"/>
                <w:iCs w:val="0"/>
                <w:color w:val="000000"/>
                <w:kern w:val="0"/>
                <w:sz w:val="24"/>
                <w:szCs w:val="24"/>
                <w:u w:val="none"/>
                <w:lang w:val="en-US" w:eastAsia="zh-CN" w:bidi="ar"/>
              </w:rPr>
              <w:t>7</w:t>
            </w:r>
          </w:p>
        </w:tc>
        <w:tc>
          <w:tcPr>
            <w:tcW w:w="4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教职员工额定编制数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eastAsia"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84</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w:t>
            </w:r>
            <w:r>
              <w:rPr>
                <w:rFonts w:hint="eastAsia" w:ascii="Times New Roman" w:hAnsi="Times New Roman" w:eastAsia="仿宋_GB2312" w:cs="Times New Roman"/>
                <w:i w:val="0"/>
                <w:iCs w:val="0"/>
                <w:color w:val="000000"/>
                <w:kern w:val="0"/>
                <w:sz w:val="24"/>
                <w:szCs w:val="24"/>
                <w:u w:val="none"/>
                <w:lang w:val="en-US" w:eastAsia="zh-CN" w:bidi="ar"/>
              </w:rPr>
              <w:t>8</w:t>
            </w:r>
          </w:p>
        </w:tc>
        <w:tc>
          <w:tcPr>
            <w:tcW w:w="4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教职员工总数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81</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w:t>
            </w:r>
            <w:r>
              <w:rPr>
                <w:rFonts w:hint="eastAsia" w:ascii="Times New Roman" w:hAnsi="Times New Roman" w:eastAsia="仿宋_GB2312" w:cs="Times New Roman"/>
                <w:i w:val="0"/>
                <w:iCs w:val="0"/>
                <w:color w:val="000000"/>
                <w:kern w:val="0"/>
                <w:sz w:val="24"/>
                <w:szCs w:val="24"/>
                <w:u w:val="none"/>
                <w:lang w:val="en-US" w:eastAsia="zh-CN" w:bidi="ar"/>
              </w:rPr>
              <w:t>9</w:t>
            </w:r>
          </w:p>
        </w:tc>
        <w:tc>
          <w:tcPr>
            <w:tcW w:w="4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 xml:space="preserve">    其中：专任教师总数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119</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81</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lang w:val="en-US"/>
              </w:rPr>
            </w:pPr>
            <w:r>
              <w:rPr>
                <w:rFonts w:hint="eastAsia" w:ascii="Times New Roman" w:hAnsi="Times New Roman" w:eastAsia="仿宋_GB2312" w:cs="Times New Roman"/>
                <w:i w:val="0"/>
                <w:iCs w:val="0"/>
                <w:color w:val="000000"/>
                <w:kern w:val="0"/>
                <w:sz w:val="24"/>
                <w:szCs w:val="24"/>
                <w:u w:val="none"/>
                <w:lang w:val="en-US" w:eastAsia="zh-CN" w:bidi="ar"/>
              </w:rPr>
              <w:t>40</w:t>
            </w:r>
          </w:p>
        </w:tc>
        <w:tc>
          <w:tcPr>
            <w:tcW w:w="409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生师比</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w:t>
            </w:r>
          </w:p>
        </w:tc>
        <w:tc>
          <w:tcPr>
            <w:tcW w:w="116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11.04:</w:t>
            </w:r>
            <w:r>
              <w:rPr>
                <w:rFonts w:hint="default" w:ascii="Times New Roman" w:hAnsi="Times New Roman" w:eastAsia="仿宋_GB2312" w:cs="Times New Roman"/>
                <w:i w:val="0"/>
                <w:iCs w:val="0"/>
                <w:color w:val="333333"/>
                <w:sz w:val="24"/>
                <w:szCs w:val="24"/>
                <w:u w:val="none"/>
                <w:lang w:val="en-US" w:eastAsia="zh-Hans"/>
              </w:rPr>
              <w:t>1</w:t>
            </w:r>
          </w:p>
        </w:tc>
        <w:tc>
          <w:tcPr>
            <w:tcW w:w="12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18.06:1</w:t>
            </w:r>
          </w:p>
        </w:tc>
      </w:tr>
      <w:tr>
        <w:tblPrEx>
          <w:shd w:val="clear" w:color="auto" w:fill="auto"/>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w:t>
            </w:r>
            <w:r>
              <w:rPr>
                <w:rFonts w:hint="eastAsia" w:ascii="Times New Roman" w:hAnsi="Times New Roman" w:eastAsia="仿宋_GB2312" w:cs="Times New Roman"/>
                <w:i w:val="0"/>
                <w:iCs w:val="0"/>
                <w:color w:val="000000"/>
                <w:kern w:val="0"/>
                <w:sz w:val="24"/>
                <w:szCs w:val="24"/>
                <w:u w:val="none"/>
                <w:lang w:val="en-US" w:eastAsia="zh-CN" w:bidi="ar"/>
              </w:rPr>
              <w:t>1</w:t>
            </w:r>
          </w:p>
        </w:tc>
        <w:tc>
          <w:tcPr>
            <w:tcW w:w="4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“双师”素质专任专业教师总数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人</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42</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51.85</w:t>
            </w:r>
          </w:p>
        </w:tc>
      </w:tr>
      <w:tr>
        <w:tblPrEx>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w:t>
            </w:r>
            <w:r>
              <w:rPr>
                <w:rFonts w:hint="eastAsia" w:ascii="Times New Roman" w:hAnsi="Times New Roman" w:eastAsia="仿宋_GB2312" w:cs="Times New Roman"/>
                <w:i w:val="0"/>
                <w:iCs w:val="0"/>
                <w:color w:val="000000"/>
                <w:kern w:val="0"/>
                <w:sz w:val="24"/>
                <w:szCs w:val="24"/>
                <w:u w:val="none"/>
                <w:lang w:val="en-US" w:eastAsia="zh-CN" w:bidi="ar"/>
              </w:rPr>
              <w:t>2</w:t>
            </w:r>
          </w:p>
        </w:tc>
        <w:tc>
          <w:tcPr>
            <w:tcW w:w="4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合作企业教师实践基地数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个</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32</w:t>
            </w:r>
          </w:p>
        </w:tc>
      </w:tr>
      <w:tr>
        <w:tblPrEx>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w:t>
            </w:r>
            <w:r>
              <w:rPr>
                <w:rFonts w:hint="eastAsia" w:ascii="Times New Roman" w:hAnsi="Times New Roman" w:eastAsia="仿宋_GB2312" w:cs="Times New Roman"/>
                <w:i w:val="0"/>
                <w:iCs w:val="0"/>
                <w:color w:val="000000"/>
                <w:kern w:val="0"/>
                <w:sz w:val="24"/>
                <w:szCs w:val="24"/>
                <w:u w:val="none"/>
                <w:lang w:val="en-US" w:eastAsia="zh-CN" w:bidi="ar"/>
              </w:rPr>
              <w:t>3</w:t>
            </w:r>
          </w:p>
        </w:tc>
        <w:tc>
          <w:tcPr>
            <w:tcW w:w="4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高级专业技术职务专任教师占比</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10.08</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eastAsia"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23.46</w:t>
            </w:r>
          </w:p>
        </w:tc>
      </w:tr>
      <w:tr>
        <w:tblPrEx>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w:t>
            </w:r>
            <w:r>
              <w:rPr>
                <w:rFonts w:hint="eastAsia" w:ascii="Times New Roman" w:hAnsi="Times New Roman" w:eastAsia="仿宋_GB2312" w:cs="Times New Roman"/>
                <w:i w:val="0"/>
                <w:iCs w:val="0"/>
                <w:color w:val="000000"/>
                <w:kern w:val="0"/>
                <w:sz w:val="24"/>
                <w:szCs w:val="24"/>
                <w:u w:val="none"/>
                <w:lang w:val="en-US" w:eastAsia="zh-CN" w:bidi="ar"/>
              </w:rPr>
              <w:t>4</w:t>
            </w:r>
          </w:p>
        </w:tc>
        <w:tc>
          <w:tcPr>
            <w:tcW w:w="4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硕士研究生及以上学历专任教师占比</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0</w:t>
            </w:r>
          </w:p>
        </w:tc>
      </w:tr>
      <w:tr>
        <w:tblPrEx>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w:t>
            </w:r>
            <w:r>
              <w:rPr>
                <w:rFonts w:hint="eastAsia" w:ascii="Times New Roman" w:hAnsi="Times New Roman" w:eastAsia="仿宋_GB2312" w:cs="Times New Roman"/>
                <w:i w:val="0"/>
                <w:iCs w:val="0"/>
                <w:color w:val="000000"/>
                <w:kern w:val="0"/>
                <w:sz w:val="24"/>
                <w:szCs w:val="24"/>
                <w:u w:val="none"/>
                <w:lang w:val="en-US" w:eastAsia="zh-CN" w:bidi="ar"/>
              </w:rPr>
              <w:t>5</w:t>
            </w:r>
          </w:p>
        </w:tc>
        <w:tc>
          <w:tcPr>
            <w:tcW w:w="4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top"/>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企业提供的实践教学设备总值</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万元</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r>
      <w:tr>
        <w:tblPrEx>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w:t>
            </w:r>
            <w:r>
              <w:rPr>
                <w:rFonts w:hint="eastAsia" w:ascii="Times New Roman" w:hAnsi="Times New Roman" w:eastAsia="仿宋_GB2312" w:cs="Times New Roman"/>
                <w:i w:val="0"/>
                <w:iCs w:val="0"/>
                <w:color w:val="000000"/>
                <w:kern w:val="0"/>
                <w:sz w:val="24"/>
                <w:szCs w:val="24"/>
                <w:u w:val="none"/>
                <w:lang w:val="en-US" w:eastAsia="zh-CN" w:bidi="ar"/>
              </w:rPr>
              <w:t>6</w:t>
            </w:r>
          </w:p>
        </w:tc>
        <w:tc>
          <w:tcPr>
            <w:tcW w:w="4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top"/>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合作企业接收学生实习比例</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100</w:t>
            </w:r>
          </w:p>
        </w:tc>
      </w:tr>
      <w:tr>
        <w:tblPrEx>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w:t>
            </w:r>
            <w:r>
              <w:rPr>
                <w:rFonts w:hint="eastAsia" w:ascii="Times New Roman" w:hAnsi="Times New Roman" w:eastAsia="仿宋_GB2312" w:cs="Times New Roman"/>
                <w:i w:val="0"/>
                <w:iCs w:val="0"/>
                <w:color w:val="000000"/>
                <w:kern w:val="0"/>
                <w:sz w:val="24"/>
                <w:szCs w:val="24"/>
                <w:u w:val="none"/>
                <w:lang w:val="en-US" w:eastAsia="zh-CN" w:bidi="ar"/>
              </w:rPr>
              <w:t>7</w:t>
            </w:r>
          </w:p>
        </w:tc>
        <w:tc>
          <w:tcPr>
            <w:tcW w:w="4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top"/>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生均企业实习经费补贴</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top"/>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元</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r>
      <w:tr>
        <w:tblPrEx>
          <w:tblCellMar>
            <w:top w:w="0" w:type="dxa"/>
            <w:left w:w="108" w:type="dxa"/>
            <w:bottom w:w="0" w:type="dxa"/>
            <w:right w:w="108" w:type="dxa"/>
          </w:tblCellMar>
        </w:tblPrEx>
        <w:trPr>
          <w:trHeight w:val="285" w:hRule="atLeast"/>
          <w:jc w:val="center"/>
        </w:trPr>
        <w:tc>
          <w:tcPr>
            <w:tcW w:w="10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w:t>
            </w:r>
            <w:r>
              <w:rPr>
                <w:rFonts w:hint="eastAsia" w:ascii="Times New Roman" w:hAnsi="Times New Roman" w:eastAsia="仿宋_GB2312" w:cs="Times New Roman"/>
                <w:i w:val="0"/>
                <w:iCs w:val="0"/>
                <w:color w:val="000000"/>
                <w:kern w:val="0"/>
                <w:sz w:val="24"/>
                <w:szCs w:val="24"/>
                <w:u w:val="none"/>
                <w:lang w:val="en-US" w:eastAsia="zh-CN" w:bidi="ar"/>
              </w:rPr>
              <w:t>8</w:t>
            </w:r>
          </w:p>
        </w:tc>
        <w:tc>
          <w:tcPr>
            <w:tcW w:w="4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left"/>
              <w:textAlignment w:val="top"/>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 xml:space="preserve">    其中：生均财政专项补贴</w:t>
            </w:r>
          </w:p>
        </w:tc>
        <w:tc>
          <w:tcPr>
            <w:tcW w:w="10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spacing w:line="288" w:lineRule="auto"/>
              <w:jc w:val="center"/>
              <w:textAlignment w:val="top"/>
              <w:rPr>
                <w:rFonts w:hint="default" w:ascii="Times New Roman" w:hAnsi="Times New Roman" w:eastAsia="仿宋_GB2312" w:cs="Times New Roman"/>
                <w:i w:val="0"/>
                <w:iCs w:val="0"/>
                <w:color w:val="333333"/>
                <w:sz w:val="24"/>
                <w:szCs w:val="24"/>
                <w:u w:val="none"/>
              </w:rPr>
            </w:pPr>
            <w:r>
              <w:rPr>
                <w:rFonts w:hint="default" w:ascii="Times New Roman" w:hAnsi="Times New Roman" w:eastAsia="仿宋_GB2312" w:cs="Times New Roman"/>
                <w:i w:val="0"/>
                <w:iCs w:val="0"/>
                <w:color w:val="333333"/>
                <w:kern w:val="0"/>
                <w:sz w:val="24"/>
                <w:szCs w:val="24"/>
                <w:u w:val="none"/>
                <w:lang w:val="en-US" w:eastAsia="zh-CN" w:bidi="ar"/>
              </w:rPr>
              <w:t>元</w:t>
            </w:r>
          </w:p>
        </w:tc>
        <w:tc>
          <w:tcPr>
            <w:tcW w:w="11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c>
          <w:tcPr>
            <w:tcW w:w="12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overflowPunct/>
              <w:topLinePunct w:val="0"/>
              <w:autoSpaceDE/>
              <w:autoSpaceDN/>
              <w:bidi w:val="0"/>
              <w:spacing w:line="288" w:lineRule="auto"/>
              <w:jc w:val="both"/>
              <w:rPr>
                <w:rFonts w:hint="default" w:ascii="Times New Roman" w:hAnsi="Times New Roman" w:eastAsia="仿宋_GB2312" w:cs="Times New Roman"/>
                <w:i w:val="0"/>
                <w:iCs w:val="0"/>
                <w:color w:val="333333"/>
                <w:sz w:val="24"/>
                <w:szCs w:val="24"/>
                <w:u w:val="none"/>
                <w:lang w:val="en-US" w:eastAsia="zh-CN"/>
              </w:rPr>
            </w:pPr>
            <w:r>
              <w:rPr>
                <w:rFonts w:hint="eastAsia" w:ascii="Times New Roman" w:hAnsi="Times New Roman" w:eastAsia="仿宋_GB2312" w:cs="Times New Roman"/>
                <w:i w:val="0"/>
                <w:iCs w:val="0"/>
                <w:color w:val="333333"/>
                <w:sz w:val="24"/>
                <w:szCs w:val="24"/>
                <w:u w:val="none"/>
                <w:lang w:val="en-US" w:eastAsia="zh-CN"/>
              </w:rPr>
              <w:t>—</w:t>
            </w:r>
          </w:p>
        </w:tc>
      </w:tr>
    </w:tbl>
    <w:p/>
    <w:p>
      <w:pPr>
        <w:pStyle w:val="2"/>
      </w:pPr>
    </w:p>
    <w:p>
      <w:pPr>
        <w:pStyle w:val="3"/>
      </w:pPr>
      <w:bookmarkStart w:id="120" w:name="_GoBack"/>
      <w:bookmarkEnd w:id="120"/>
    </w:p>
    <w:p>
      <w:pPr>
        <w:pStyle w:val="3"/>
      </w:pPr>
    </w:p>
    <w:p>
      <w:pPr>
        <w:pStyle w:val="3"/>
      </w:pPr>
    </w:p>
    <w:p>
      <w:pPr>
        <w:rPr>
          <w:rFonts w:ascii="Times New Roman" w:hAnsi="Times New Roman"/>
        </w:rPr>
      </w:pPr>
      <w:r>
        <w:rPr>
          <w:rFonts w:ascii="Times New Roman" w:hAnsi="Times New Roman"/>
        </w:rPr>
        <w:br w:type="page"/>
      </w:r>
    </w:p>
    <w:p>
      <w:pPr>
        <w:pStyle w:val="5"/>
        <w:rPr>
          <w:rFonts w:ascii="Times New Roman" w:hAnsi="Times New Roman"/>
        </w:rPr>
      </w:pPr>
      <w:bookmarkStart w:id="117" w:name="_Toc29523"/>
      <w:r>
        <w:rPr>
          <w:rFonts w:ascii="Times New Roman" w:hAnsi="Times New Roman"/>
        </w:rPr>
        <w:t>附</w:t>
      </w:r>
      <w:r>
        <w:rPr>
          <w:rFonts w:hint="eastAsia" w:ascii="Times New Roman" w:hAnsi="Times New Roman"/>
        </w:rPr>
        <w:t>件</w:t>
      </w:r>
      <w:r>
        <w:rPr>
          <w:rFonts w:hint="eastAsia" w:ascii="Times New Roman" w:hAnsi="Times New Roman"/>
          <w:lang w:val="en-US" w:eastAsia="zh-CN"/>
        </w:rPr>
        <w:t>4</w:t>
      </w:r>
      <w:r>
        <w:rPr>
          <w:rFonts w:ascii="Times New Roman" w:hAnsi="Times New Roman"/>
        </w:rPr>
        <w:t>：学校荣誉</w:t>
      </w:r>
      <w:bookmarkEnd w:id="117"/>
    </w:p>
    <w:tbl>
      <w:tblPr>
        <w:tblStyle w:val="17"/>
        <w:tblW w:w="8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74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shd w:val="clear" w:color="auto" w:fill="C6D9F0" w:themeFill="text2" w:themeFillTint="33"/>
            <w:vAlign w:val="center"/>
          </w:tcPr>
          <w:p>
            <w:pPr>
              <w:spacing w:line="360" w:lineRule="auto"/>
              <w:jc w:val="center"/>
              <w:rPr>
                <w:rFonts w:ascii="Times New Roman" w:hAnsi="Times New Roman"/>
                <w:b/>
                <w:bCs/>
                <w:szCs w:val="21"/>
              </w:rPr>
            </w:pPr>
            <w:r>
              <w:rPr>
                <w:rFonts w:ascii="Times New Roman" w:hAnsi="Times New Roman"/>
                <w:b/>
                <w:bCs/>
                <w:szCs w:val="21"/>
              </w:rPr>
              <w:t>序号</w:t>
            </w:r>
          </w:p>
        </w:tc>
        <w:tc>
          <w:tcPr>
            <w:tcW w:w="7468" w:type="dxa"/>
            <w:shd w:val="clear" w:color="auto" w:fill="C6D9F0" w:themeFill="text2" w:themeFillTint="33"/>
            <w:vAlign w:val="center"/>
          </w:tcPr>
          <w:p>
            <w:pPr>
              <w:spacing w:line="360" w:lineRule="auto"/>
              <w:jc w:val="center"/>
              <w:rPr>
                <w:rFonts w:ascii="Times New Roman" w:hAnsi="Times New Roman"/>
                <w:b/>
                <w:bCs/>
                <w:szCs w:val="21"/>
              </w:rPr>
            </w:pPr>
            <w:r>
              <w:rPr>
                <w:rFonts w:ascii="Times New Roman" w:hAnsi="Times New Roman"/>
                <w:b/>
                <w:bCs/>
                <w:szCs w:val="21"/>
              </w:rPr>
              <w:t>奖项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ascii="Times New Roman" w:hAnsi="Times New Roman"/>
                <w:szCs w:val="21"/>
              </w:rPr>
            </w:pPr>
            <w:r>
              <w:rPr>
                <w:rFonts w:ascii="Times New Roman" w:hAnsi="Times New Roman"/>
                <w:szCs w:val="21"/>
              </w:rPr>
              <w:t>1</w:t>
            </w:r>
          </w:p>
        </w:tc>
        <w:tc>
          <w:tcPr>
            <w:tcW w:w="7468" w:type="dxa"/>
            <w:vAlign w:val="center"/>
          </w:tcPr>
          <w:p>
            <w:pPr>
              <w:spacing w:line="360" w:lineRule="auto"/>
              <w:jc w:val="left"/>
              <w:rPr>
                <w:rFonts w:ascii="Times New Roman" w:hAnsi="Times New Roman"/>
                <w:szCs w:val="21"/>
              </w:rPr>
            </w:pPr>
            <w:r>
              <w:rPr>
                <w:rFonts w:hint="eastAsia" w:ascii="Times New Roman" w:hAnsi="Times New Roman"/>
                <w:szCs w:val="21"/>
              </w:rPr>
              <w:t>国家中等职业教育改革发展示范校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ascii="Times New Roman" w:hAnsi="Times New Roman"/>
                <w:szCs w:val="21"/>
              </w:rPr>
            </w:pPr>
            <w:r>
              <w:rPr>
                <w:rFonts w:hint="eastAsia" w:ascii="Times New Roman" w:hAnsi="Times New Roman"/>
                <w:szCs w:val="21"/>
              </w:rPr>
              <w:t>2</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全州教育系统先进基层党组织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ascii="Times New Roman" w:hAnsi="Times New Roman"/>
                <w:szCs w:val="21"/>
              </w:rPr>
            </w:pPr>
            <w:r>
              <w:rPr>
                <w:rFonts w:ascii="Times New Roman" w:hAnsi="Times New Roman"/>
                <w:szCs w:val="21"/>
              </w:rPr>
              <w:t>3</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全州五四红旗团委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ascii="Times New Roman" w:hAnsi="Times New Roman"/>
                <w:szCs w:val="21"/>
              </w:rPr>
            </w:pPr>
            <w:r>
              <w:rPr>
                <w:rFonts w:hint="eastAsia" w:ascii="Times New Roman" w:hAnsi="Times New Roman"/>
                <w:szCs w:val="21"/>
              </w:rPr>
              <w:t>4</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全州教育系统先进基层党组织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ascii="Times New Roman" w:hAnsi="Times New Roman"/>
                <w:szCs w:val="21"/>
              </w:rPr>
            </w:pPr>
            <w:r>
              <w:rPr>
                <w:rFonts w:ascii="Times New Roman" w:hAnsi="Times New Roman"/>
                <w:szCs w:val="21"/>
              </w:rPr>
              <w:t>5</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2015年度海西州共青团重点工作目标考核先进集体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ascii="Times New Roman" w:hAnsi="Times New Roman"/>
                <w:szCs w:val="21"/>
              </w:rPr>
            </w:pPr>
            <w:r>
              <w:rPr>
                <w:rFonts w:ascii="Times New Roman" w:hAnsi="Times New Roman"/>
                <w:szCs w:val="21"/>
              </w:rPr>
              <w:t>6</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“十二五”全州档案工作先进集体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ascii="Times New Roman" w:hAnsi="Times New Roman"/>
                <w:szCs w:val="21"/>
              </w:rPr>
            </w:pPr>
            <w:r>
              <w:rPr>
                <w:rFonts w:ascii="Times New Roman" w:hAnsi="Times New Roman"/>
                <w:szCs w:val="21"/>
              </w:rPr>
              <w:t>7</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先进基层党组织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ascii="Times New Roman" w:hAnsi="Times New Roman"/>
                <w:szCs w:val="21"/>
              </w:rPr>
            </w:pPr>
            <w:r>
              <w:rPr>
                <w:rFonts w:hint="eastAsia" w:ascii="Times New Roman" w:hAnsi="Times New Roman"/>
                <w:szCs w:val="21"/>
              </w:rPr>
              <w:t>8</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海西州创建全国民族团结进步先进州先进单位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ascii="Times New Roman" w:hAnsi="Times New Roman"/>
                <w:szCs w:val="21"/>
              </w:rPr>
            </w:pPr>
            <w:r>
              <w:rPr>
                <w:rFonts w:ascii="Times New Roman" w:hAnsi="Times New Roman"/>
                <w:szCs w:val="21"/>
              </w:rPr>
              <w:t>9</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海西州第三届青少年科技大赛科学创意类团队二等奖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ascii="Times New Roman" w:hAnsi="Times New Roman"/>
                <w:szCs w:val="21"/>
              </w:rPr>
            </w:pPr>
            <w:r>
              <w:rPr>
                <w:rFonts w:ascii="Times New Roman" w:hAnsi="Times New Roman"/>
                <w:szCs w:val="21"/>
              </w:rPr>
              <w:t>10</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2016年度全州教育系统“三八”红旗集体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ascii="Times New Roman" w:hAnsi="Times New Roman"/>
                <w:szCs w:val="21"/>
              </w:rPr>
            </w:pPr>
            <w:r>
              <w:rPr>
                <w:rFonts w:ascii="Times New Roman" w:hAnsi="Times New Roman"/>
                <w:szCs w:val="21"/>
              </w:rPr>
              <w:t>11</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海西州民族团结杯男子篮球比赛第四名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ascii="Times New Roman" w:hAnsi="Times New Roman"/>
                <w:szCs w:val="21"/>
              </w:rPr>
            </w:pPr>
            <w:r>
              <w:rPr>
                <w:rFonts w:ascii="Times New Roman" w:hAnsi="Times New Roman"/>
                <w:szCs w:val="21"/>
              </w:rPr>
              <w:t>12</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全州老干部工作先进集体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13</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全州教育系统先进基层党组织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14</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海西州名校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15</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德令哈地区民族团结杯男子排球比赛第五名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16</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海西州民族团结杯男子篮球比赛第三名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17</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2017-2018学年优秀学校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ascii="Times New Roman" w:hAnsi="Times New Roman"/>
                <w:szCs w:val="21"/>
              </w:rPr>
            </w:pPr>
            <w:r>
              <w:rPr>
                <w:rFonts w:ascii="Times New Roman" w:hAnsi="Times New Roman"/>
                <w:szCs w:val="21"/>
              </w:rPr>
              <w:t>1</w:t>
            </w:r>
            <w:r>
              <w:rPr>
                <w:rFonts w:hint="eastAsia" w:ascii="Times New Roman" w:hAnsi="Times New Roman"/>
                <w:szCs w:val="21"/>
                <w:lang w:val="en-US" w:eastAsia="zh-CN"/>
              </w:rPr>
              <w:t>8</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州级平安示范校园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hint="default" w:ascii="Times New Roman" w:hAnsi="Times New Roman" w:eastAsia="宋体"/>
                <w:szCs w:val="21"/>
                <w:lang w:val="en-US" w:eastAsia="zh-CN"/>
              </w:rPr>
            </w:pPr>
            <w:r>
              <w:rPr>
                <w:rFonts w:hint="eastAsia" w:ascii="Times New Roman" w:hAnsi="Times New Roman"/>
                <w:szCs w:val="21"/>
                <w:lang w:val="en-US" w:eastAsia="zh-CN"/>
              </w:rPr>
              <w:t>19</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海西州劳动模范集体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hint="default" w:ascii="Times New Roman" w:hAnsi="Times New Roman"/>
                <w:szCs w:val="21"/>
                <w:lang w:val="en-US" w:eastAsia="zh-CN"/>
              </w:rPr>
            </w:pPr>
            <w:r>
              <w:rPr>
                <w:rFonts w:hint="eastAsia" w:ascii="Times New Roman" w:hAnsi="Times New Roman"/>
                <w:szCs w:val="21"/>
                <w:lang w:val="en-US" w:eastAsia="zh-CN"/>
              </w:rPr>
              <w:t>20</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庆祝中华人民共和国成立70周年 青海解放70周年民族团结进步模范集体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10" w:type="dxa"/>
            <w:vAlign w:val="center"/>
          </w:tcPr>
          <w:p>
            <w:pPr>
              <w:spacing w:line="360" w:lineRule="auto"/>
              <w:jc w:val="center"/>
              <w:rPr>
                <w:rFonts w:hint="default" w:ascii="Times New Roman" w:hAnsi="Times New Roman"/>
                <w:szCs w:val="21"/>
                <w:lang w:val="en-US" w:eastAsia="zh-CN"/>
              </w:rPr>
            </w:pPr>
            <w:r>
              <w:rPr>
                <w:rFonts w:hint="eastAsia" w:ascii="Times New Roman" w:hAnsi="Times New Roman"/>
                <w:szCs w:val="21"/>
                <w:lang w:val="en-US" w:eastAsia="zh-CN"/>
              </w:rPr>
              <w:t>21</w:t>
            </w:r>
          </w:p>
        </w:tc>
        <w:tc>
          <w:tcPr>
            <w:tcW w:w="7468" w:type="dxa"/>
            <w:vAlign w:val="center"/>
          </w:tcPr>
          <w:p>
            <w:pPr>
              <w:spacing w:line="360" w:lineRule="auto"/>
              <w:jc w:val="left"/>
              <w:rPr>
                <w:rFonts w:hint="eastAsia" w:ascii="Times New Roman" w:hAnsi="Times New Roman" w:eastAsia="宋体" w:cs="Times New Roman"/>
                <w:kern w:val="2"/>
                <w:sz w:val="21"/>
                <w:szCs w:val="21"/>
                <w:lang w:val="en-US" w:eastAsia="zh-CN" w:bidi="ar-SA"/>
              </w:rPr>
            </w:pPr>
            <w:r>
              <w:rPr>
                <w:rFonts w:hint="eastAsia" w:ascii="Times New Roman" w:hAnsi="Times New Roman" w:eastAsia="宋体" w:cs="Times New Roman"/>
                <w:sz w:val="21"/>
                <w:szCs w:val="21"/>
              </w:rPr>
              <w:t>海西州校园文化建设示范校</w:t>
            </w:r>
          </w:p>
        </w:tc>
      </w:tr>
    </w:tbl>
    <w:p>
      <w:pPr>
        <w:rPr>
          <w:rFonts w:ascii="Times New Roman" w:hAnsi="Times New Roman"/>
        </w:rPr>
      </w:pPr>
      <w:r>
        <w:rPr>
          <w:rFonts w:ascii="Times New Roman" w:hAnsi="Times New Roman"/>
        </w:rPr>
        <w:br w:type="page"/>
      </w:r>
    </w:p>
    <w:p>
      <w:pPr>
        <w:pStyle w:val="5"/>
        <w:rPr>
          <w:rFonts w:ascii="Times New Roman" w:hAnsi="Times New Roman"/>
        </w:rPr>
      </w:pPr>
      <w:bookmarkStart w:id="118" w:name="_Toc10826"/>
      <w:bookmarkStart w:id="119" w:name="_Toc61256708"/>
      <w:r>
        <w:rPr>
          <w:rFonts w:ascii="Times New Roman" w:hAnsi="Times New Roman"/>
        </w:rPr>
        <w:t>附</w:t>
      </w:r>
      <w:r>
        <w:rPr>
          <w:rFonts w:hint="eastAsia" w:ascii="Times New Roman" w:hAnsi="Times New Roman"/>
        </w:rPr>
        <w:t>件</w:t>
      </w:r>
      <w:r>
        <w:rPr>
          <w:rFonts w:hint="eastAsia" w:ascii="Times New Roman" w:hAnsi="Times New Roman"/>
          <w:lang w:val="en-US" w:eastAsia="zh-CN"/>
        </w:rPr>
        <w:t>5</w:t>
      </w:r>
      <w:r>
        <w:rPr>
          <w:rFonts w:ascii="Times New Roman" w:hAnsi="Times New Roman"/>
        </w:rPr>
        <w:t>：政策依据</w:t>
      </w:r>
      <w:bookmarkEnd w:id="118"/>
      <w:bookmarkEnd w:id="119"/>
    </w:p>
    <w:tbl>
      <w:tblPr>
        <w:tblStyle w:val="17"/>
        <w:tblW w:w="82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
        <w:gridCol w:w="1788"/>
        <w:gridCol w:w="2750"/>
        <w:gridCol w:w="1789"/>
        <w:gridCol w:w="12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blHeader/>
          <w:jc w:val="center"/>
        </w:trPr>
        <w:tc>
          <w:tcPr>
            <w:tcW w:w="661" w:type="dxa"/>
            <w:shd w:val="clear" w:color="auto" w:fill="C6D9F0" w:themeFill="text2" w:themeFillTint="33"/>
            <w:vAlign w:val="center"/>
          </w:tcPr>
          <w:p>
            <w:pPr>
              <w:widowControl/>
              <w:spacing w:line="45" w:lineRule="atLeast"/>
              <w:jc w:val="center"/>
              <w:rPr>
                <w:rFonts w:ascii="Times New Roman" w:hAnsi="Times New Roman"/>
                <w:b/>
                <w:kern w:val="0"/>
                <w:szCs w:val="21"/>
              </w:rPr>
            </w:pPr>
            <w:r>
              <w:rPr>
                <w:rFonts w:ascii="Times New Roman" w:hAnsi="Times New Roman"/>
                <w:b/>
                <w:bCs/>
                <w:kern w:val="0"/>
                <w:szCs w:val="21"/>
              </w:rPr>
              <w:t>序号</w:t>
            </w:r>
          </w:p>
        </w:tc>
        <w:tc>
          <w:tcPr>
            <w:tcW w:w="1788" w:type="dxa"/>
            <w:shd w:val="clear" w:color="auto" w:fill="C6D9F0" w:themeFill="text2" w:themeFillTint="33"/>
            <w:vAlign w:val="center"/>
          </w:tcPr>
          <w:p>
            <w:pPr>
              <w:widowControl/>
              <w:spacing w:line="45" w:lineRule="atLeast"/>
              <w:jc w:val="center"/>
              <w:rPr>
                <w:rFonts w:ascii="Times New Roman" w:hAnsi="Times New Roman"/>
                <w:b/>
                <w:kern w:val="0"/>
                <w:szCs w:val="21"/>
              </w:rPr>
            </w:pPr>
            <w:r>
              <w:rPr>
                <w:rFonts w:ascii="Times New Roman" w:hAnsi="Times New Roman"/>
                <w:b/>
                <w:bCs/>
                <w:kern w:val="0"/>
                <w:szCs w:val="21"/>
              </w:rPr>
              <w:t>发文机关</w:t>
            </w:r>
          </w:p>
        </w:tc>
        <w:tc>
          <w:tcPr>
            <w:tcW w:w="2750" w:type="dxa"/>
            <w:shd w:val="clear" w:color="auto" w:fill="C6D9F0" w:themeFill="text2" w:themeFillTint="33"/>
            <w:vAlign w:val="center"/>
          </w:tcPr>
          <w:p>
            <w:pPr>
              <w:widowControl/>
              <w:spacing w:line="45" w:lineRule="atLeast"/>
              <w:jc w:val="center"/>
              <w:rPr>
                <w:rFonts w:ascii="Times New Roman" w:hAnsi="Times New Roman"/>
                <w:b/>
                <w:kern w:val="0"/>
                <w:szCs w:val="21"/>
              </w:rPr>
            </w:pPr>
            <w:r>
              <w:rPr>
                <w:rFonts w:ascii="Times New Roman" w:hAnsi="Times New Roman"/>
                <w:b/>
                <w:bCs/>
                <w:kern w:val="0"/>
                <w:szCs w:val="21"/>
              </w:rPr>
              <w:t>政策名称</w:t>
            </w:r>
          </w:p>
        </w:tc>
        <w:tc>
          <w:tcPr>
            <w:tcW w:w="1789" w:type="dxa"/>
            <w:shd w:val="clear" w:color="auto" w:fill="C6D9F0" w:themeFill="text2" w:themeFillTint="33"/>
            <w:vAlign w:val="center"/>
          </w:tcPr>
          <w:p>
            <w:pPr>
              <w:widowControl/>
              <w:spacing w:line="45" w:lineRule="atLeast"/>
              <w:jc w:val="center"/>
              <w:rPr>
                <w:rFonts w:ascii="Times New Roman" w:hAnsi="Times New Roman"/>
                <w:b/>
                <w:kern w:val="0"/>
                <w:szCs w:val="21"/>
              </w:rPr>
            </w:pPr>
            <w:r>
              <w:rPr>
                <w:rFonts w:ascii="Times New Roman" w:hAnsi="Times New Roman"/>
                <w:b/>
                <w:bCs/>
                <w:kern w:val="0"/>
                <w:szCs w:val="21"/>
              </w:rPr>
              <w:t>发文字号</w:t>
            </w:r>
          </w:p>
        </w:tc>
        <w:tc>
          <w:tcPr>
            <w:tcW w:w="1290" w:type="dxa"/>
            <w:shd w:val="clear" w:color="auto" w:fill="C6D9F0" w:themeFill="text2" w:themeFillTint="33"/>
            <w:vAlign w:val="center"/>
          </w:tcPr>
          <w:p>
            <w:pPr>
              <w:widowControl/>
              <w:spacing w:line="45" w:lineRule="atLeast"/>
              <w:jc w:val="center"/>
              <w:rPr>
                <w:rFonts w:ascii="Times New Roman" w:hAnsi="Times New Roman"/>
                <w:b/>
                <w:kern w:val="0"/>
                <w:szCs w:val="21"/>
              </w:rPr>
            </w:pPr>
            <w:r>
              <w:rPr>
                <w:rFonts w:ascii="Times New Roman" w:hAnsi="Times New Roman"/>
                <w:b/>
                <w:bCs/>
                <w:kern w:val="0"/>
                <w:szCs w:val="21"/>
              </w:rPr>
              <w:t>发布日期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spacing w:before="100" w:beforeAutospacing="1" w:after="142"/>
              <w:jc w:val="center"/>
              <w:rPr>
                <w:rFonts w:ascii="Times New Roman" w:hAnsi="Times New Roman"/>
                <w:kern w:val="0"/>
                <w:szCs w:val="21"/>
              </w:rPr>
            </w:pPr>
            <w:r>
              <w:rPr>
                <w:rFonts w:ascii="Times New Roman" w:hAnsi="Times New Roman"/>
                <w:color w:val="000000"/>
                <w:kern w:val="0"/>
                <w:szCs w:val="21"/>
              </w:rPr>
              <w:t>1</w:t>
            </w:r>
          </w:p>
        </w:tc>
        <w:tc>
          <w:tcPr>
            <w:tcW w:w="1788"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w:t>
            </w:r>
          </w:p>
        </w:tc>
        <w:tc>
          <w:tcPr>
            <w:tcW w:w="275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教育部关于印发《中等职业学校设置标准》的通知</w:t>
            </w:r>
          </w:p>
        </w:tc>
        <w:tc>
          <w:tcPr>
            <w:tcW w:w="1789"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教职成〔2010〕12号</w:t>
            </w:r>
          </w:p>
        </w:tc>
        <w:tc>
          <w:tcPr>
            <w:tcW w:w="129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2010.07.06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jc w:val="center"/>
              <w:rPr>
                <w:rFonts w:ascii="Times New Roman" w:hAnsi="Times New Roman" w:cs="宋体"/>
                <w:color w:val="000000"/>
                <w:kern w:val="0"/>
              </w:rPr>
            </w:pPr>
            <w:r>
              <w:rPr>
                <w:rFonts w:hint="eastAsia" w:ascii="Times New Roman" w:hAnsi="Times New Roman"/>
                <w:color w:val="000000"/>
                <w:kern w:val="0"/>
              </w:rPr>
              <w:t>2</w:t>
            </w:r>
          </w:p>
        </w:tc>
        <w:tc>
          <w:tcPr>
            <w:tcW w:w="1788" w:type="dxa"/>
            <w:shd w:val="clear" w:color="auto" w:fill="auto"/>
            <w:vAlign w:val="center"/>
          </w:tcPr>
          <w:p>
            <w:pPr>
              <w:widowControl/>
              <w:spacing w:before="100" w:beforeAutospacing="1" w:after="142"/>
              <w:jc w:val="center"/>
              <w:rPr>
                <w:rFonts w:ascii="Times New Roman" w:hAnsi="Times New Roman"/>
                <w:kern w:val="0"/>
                <w:szCs w:val="21"/>
              </w:rPr>
            </w:pPr>
            <w:r>
              <w:rPr>
                <w:rFonts w:ascii="Times New Roman" w:hAnsi="Times New Roman"/>
                <w:color w:val="000000"/>
                <w:kern w:val="0"/>
                <w:szCs w:val="21"/>
              </w:rPr>
              <w:t>国务院</w:t>
            </w:r>
          </w:p>
        </w:tc>
        <w:tc>
          <w:tcPr>
            <w:tcW w:w="2750" w:type="dxa"/>
            <w:shd w:val="clear" w:color="auto" w:fill="auto"/>
            <w:vAlign w:val="center"/>
          </w:tcPr>
          <w:p>
            <w:pPr>
              <w:widowControl/>
              <w:spacing w:before="100" w:beforeAutospacing="1" w:after="142"/>
              <w:jc w:val="center"/>
              <w:rPr>
                <w:rFonts w:ascii="Times New Roman" w:hAnsi="Times New Roman"/>
                <w:kern w:val="0"/>
                <w:szCs w:val="21"/>
              </w:rPr>
            </w:pPr>
            <w:r>
              <w:rPr>
                <w:rFonts w:ascii="Times New Roman" w:hAnsi="Times New Roman"/>
                <w:color w:val="000000"/>
                <w:kern w:val="0"/>
                <w:szCs w:val="21"/>
              </w:rPr>
              <w:t>国务院关于加快发展现代职业教育的决定</w:t>
            </w:r>
          </w:p>
        </w:tc>
        <w:tc>
          <w:tcPr>
            <w:tcW w:w="1789" w:type="dxa"/>
            <w:shd w:val="clear" w:color="auto" w:fill="auto"/>
            <w:vAlign w:val="center"/>
          </w:tcPr>
          <w:p>
            <w:pPr>
              <w:widowControl/>
              <w:spacing w:before="100" w:beforeAutospacing="1" w:after="142"/>
              <w:jc w:val="center"/>
              <w:rPr>
                <w:rFonts w:ascii="Times New Roman" w:hAnsi="Times New Roman"/>
                <w:kern w:val="0"/>
                <w:szCs w:val="21"/>
              </w:rPr>
            </w:pPr>
            <w:r>
              <w:rPr>
                <w:rFonts w:ascii="Times New Roman" w:hAnsi="Times New Roman"/>
                <w:color w:val="000000"/>
                <w:kern w:val="0"/>
                <w:szCs w:val="21"/>
              </w:rPr>
              <w:t>国发〔2014〕19号</w:t>
            </w:r>
          </w:p>
        </w:tc>
        <w:tc>
          <w:tcPr>
            <w:tcW w:w="1290" w:type="dxa"/>
            <w:shd w:val="clear" w:color="auto" w:fill="auto"/>
            <w:vAlign w:val="center"/>
          </w:tcPr>
          <w:p>
            <w:pPr>
              <w:widowControl/>
              <w:spacing w:before="100" w:beforeAutospacing="1" w:after="142"/>
              <w:jc w:val="center"/>
              <w:rPr>
                <w:rFonts w:ascii="Times New Roman" w:hAnsi="Times New Roman"/>
                <w:kern w:val="0"/>
                <w:szCs w:val="21"/>
              </w:rPr>
            </w:pPr>
            <w:r>
              <w:rPr>
                <w:rFonts w:ascii="Times New Roman" w:hAnsi="Times New Roman"/>
                <w:color w:val="000000"/>
                <w:kern w:val="0"/>
                <w:szCs w:val="21"/>
              </w:rPr>
              <w:t>2014.05.02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jc w:val="center"/>
              <w:rPr>
                <w:rFonts w:ascii="Times New Roman" w:hAnsi="Times New Roman" w:cs="宋体"/>
                <w:color w:val="000000"/>
                <w:kern w:val="0"/>
              </w:rPr>
            </w:pPr>
            <w:r>
              <w:rPr>
                <w:rFonts w:hint="eastAsia" w:ascii="Times New Roman" w:hAnsi="Times New Roman"/>
                <w:color w:val="000000"/>
                <w:kern w:val="0"/>
              </w:rPr>
              <w:t>3</w:t>
            </w:r>
          </w:p>
        </w:tc>
        <w:tc>
          <w:tcPr>
            <w:tcW w:w="1788"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w:t>
            </w:r>
          </w:p>
        </w:tc>
        <w:tc>
          <w:tcPr>
            <w:tcW w:w="275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教育部关于印发《中国教育监测与评价统计指标体系》的通知</w:t>
            </w:r>
          </w:p>
        </w:tc>
        <w:tc>
          <w:tcPr>
            <w:tcW w:w="1789"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教发〔2015〕6号</w:t>
            </w:r>
          </w:p>
        </w:tc>
        <w:tc>
          <w:tcPr>
            <w:tcW w:w="129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2015.08.10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jc w:val="center"/>
              <w:rPr>
                <w:rFonts w:ascii="Times New Roman" w:hAnsi="Times New Roman" w:cs="宋体"/>
                <w:color w:val="000000"/>
                <w:kern w:val="0"/>
              </w:rPr>
            </w:pPr>
            <w:r>
              <w:rPr>
                <w:rFonts w:hint="eastAsia" w:ascii="Times New Roman" w:hAnsi="Times New Roman"/>
                <w:color w:val="000000"/>
                <w:kern w:val="0"/>
              </w:rPr>
              <w:t>4</w:t>
            </w:r>
          </w:p>
        </w:tc>
        <w:tc>
          <w:tcPr>
            <w:tcW w:w="1788"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w:t>
            </w:r>
          </w:p>
        </w:tc>
        <w:tc>
          <w:tcPr>
            <w:tcW w:w="275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教育部关于印发《职业院校管理水平提升行动计划（2015-2018年）》的通知</w:t>
            </w:r>
          </w:p>
        </w:tc>
        <w:tc>
          <w:tcPr>
            <w:tcW w:w="1789"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教职成〔2015〕7号</w:t>
            </w:r>
          </w:p>
        </w:tc>
        <w:tc>
          <w:tcPr>
            <w:tcW w:w="129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2015.08.28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jc w:val="center"/>
              <w:rPr>
                <w:rFonts w:ascii="Times New Roman" w:hAnsi="Times New Roman" w:cs="宋体"/>
                <w:color w:val="000000"/>
                <w:kern w:val="0"/>
              </w:rPr>
            </w:pPr>
            <w:r>
              <w:rPr>
                <w:rFonts w:hint="eastAsia" w:ascii="Times New Roman" w:hAnsi="Times New Roman"/>
                <w:color w:val="000000"/>
                <w:kern w:val="0"/>
              </w:rPr>
              <w:t>5</w:t>
            </w:r>
          </w:p>
        </w:tc>
        <w:tc>
          <w:tcPr>
            <w:tcW w:w="1788"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w:t>
            </w:r>
          </w:p>
        </w:tc>
        <w:tc>
          <w:tcPr>
            <w:tcW w:w="275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教育部关于开展中等职业教育质量年度报告工作的通知</w:t>
            </w:r>
          </w:p>
        </w:tc>
        <w:tc>
          <w:tcPr>
            <w:tcW w:w="1789"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教职成厅函〔2016〕2号</w:t>
            </w:r>
          </w:p>
        </w:tc>
        <w:tc>
          <w:tcPr>
            <w:tcW w:w="129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2016.01.12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6</w:t>
            </w:r>
          </w:p>
        </w:tc>
        <w:tc>
          <w:tcPr>
            <w:tcW w:w="1788"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国务院教育督导委员会</w:t>
            </w:r>
          </w:p>
        </w:tc>
        <w:tc>
          <w:tcPr>
            <w:tcW w:w="275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教育部关于印发《中等职业学校办学能力评估暂行办法》的通知</w:t>
            </w:r>
          </w:p>
        </w:tc>
        <w:tc>
          <w:tcPr>
            <w:tcW w:w="1789"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国教督办〔2016〕2号</w:t>
            </w:r>
          </w:p>
        </w:tc>
        <w:tc>
          <w:tcPr>
            <w:tcW w:w="129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2016.03.14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7</w:t>
            </w:r>
          </w:p>
        </w:tc>
        <w:tc>
          <w:tcPr>
            <w:tcW w:w="1788"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w:t>
            </w:r>
          </w:p>
        </w:tc>
        <w:tc>
          <w:tcPr>
            <w:tcW w:w="275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教育部关于中等职业学校人才培养工作状态数据采集试行工作的通知</w:t>
            </w:r>
          </w:p>
        </w:tc>
        <w:tc>
          <w:tcPr>
            <w:tcW w:w="1789"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教职成司函〔2016〕139号</w:t>
            </w:r>
          </w:p>
        </w:tc>
        <w:tc>
          <w:tcPr>
            <w:tcW w:w="129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2016.10.13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8</w:t>
            </w:r>
          </w:p>
        </w:tc>
        <w:tc>
          <w:tcPr>
            <w:tcW w:w="1788"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国务院办公厅</w:t>
            </w:r>
          </w:p>
        </w:tc>
        <w:tc>
          <w:tcPr>
            <w:tcW w:w="275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国务院办公厅关于深化产教融合的若干意见</w:t>
            </w:r>
          </w:p>
        </w:tc>
        <w:tc>
          <w:tcPr>
            <w:tcW w:w="1789"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国办发〔2017〕95号</w:t>
            </w:r>
          </w:p>
        </w:tc>
        <w:tc>
          <w:tcPr>
            <w:tcW w:w="129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2017.12.19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9</w:t>
            </w:r>
          </w:p>
        </w:tc>
        <w:tc>
          <w:tcPr>
            <w:tcW w:w="1788"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国务院</w:t>
            </w:r>
          </w:p>
        </w:tc>
        <w:tc>
          <w:tcPr>
            <w:tcW w:w="275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国务院关于印发国家职业教育改革实施方案的通知</w:t>
            </w:r>
          </w:p>
        </w:tc>
        <w:tc>
          <w:tcPr>
            <w:tcW w:w="1789"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国发〔2019〕4号</w:t>
            </w:r>
          </w:p>
        </w:tc>
        <w:tc>
          <w:tcPr>
            <w:tcW w:w="129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2019.01.24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10</w:t>
            </w:r>
          </w:p>
        </w:tc>
        <w:tc>
          <w:tcPr>
            <w:tcW w:w="1788"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中共中央、</w:t>
            </w:r>
          </w:p>
          <w:p>
            <w:pPr>
              <w:widowControl/>
              <w:jc w:val="center"/>
              <w:rPr>
                <w:rFonts w:ascii="Times New Roman" w:hAnsi="Times New Roman" w:cs="宋体"/>
                <w:kern w:val="0"/>
              </w:rPr>
            </w:pPr>
            <w:r>
              <w:rPr>
                <w:rFonts w:hint="eastAsia" w:ascii="Times New Roman" w:hAnsi="Times New Roman"/>
                <w:kern w:val="0"/>
              </w:rPr>
              <w:t>国务院</w:t>
            </w:r>
          </w:p>
        </w:tc>
        <w:tc>
          <w:tcPr>
            <w:tcW w:w="275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中国教育现代化2035</w:t>
            </w:r>
          </w:p>
        </w:tc>
        <w:tc>
          <w:tcPr>
            <w:tcW w:w="1789"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w:t>
            </w:r>
          </w:p>
        </w:tc>
        <w:tc>
          <w:tcPr>
            <w:tcW w:w="129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2019.02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11</w:t>
            </w:r>
          </w:p>
        </w:tc>
        <w:tc>
          <w:tcPr>
            <w:tcW w:w="1788"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中共中央办公厅、国务院办公厅</w:t>
            </w:r>
          </w:p>
        </w:tc>
        <w:tc>
          <w:tcPr>
            <w:tcW w:w="275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加快推进教育现代化实施方案（2018－2022年）</w:t>
            </w:r>
          </w:p>
        </w:tc>
        <w:tc>
          <w:tcPr>
            <w:tcW w:w="1789"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w:t>
            </w:r>
          </w:p>
        </w:tc>
        <w:tc>
          <w:tcPr>
            <w:tcW w:w="129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2019.02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12</w:t>
            </w:r>
          </w:p>
        </w:tc>
        <w:tc>
          <w:tcPr>
            <w:tcW w:w="1788"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教育部等四部门</w:t>
            </w:r>
          </w:p>
        </w:tc>
        <w:tc>
          <w:tcPr>
            <w:tcW w:w="275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教育部等四部门关于在院校实施“学历证书+若干职业技能等级证书”制度试点方案</w:t>
            </w:r>
          </w:p>
        </w:tc>
        <w:tc>
          <w:tcPr>
            <w:tcW w:w="1789"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教职成〔2019〕6号</w:t>
            </w:r>
          </w:p>
        </w:tc>
        <w:tc>
          <w:tcPr>
            <w:tcW w:w="129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2019.04.04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13</w:t>
            </w:r>
          </w:p>
        </w:tc>
        <w:tc>
          <w:tcPr>
            <w:tcW w:w="1788"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教育部办公厅</w:t>
            </w:r>
          </w:p>
        </w:tc>
        <w:tc>
          <w:tcPr>
            <w:tcW w:w="275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教育部办公厅关于全面推进现代学徒制工作的通知</w:t>
            </w:r>
          </w:p>
        </w:tc>
        <w:tc>
          <w:tcPr>
            <w:tcW w:w="1789"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教职成厅函〔2019〕12号</w:t>
            </w:r>
          </w:p>
        </w:tc>
        <w:tc>
          <w:tcPr>
            <w:tcW w:w="129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2019.05.14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14</w:t>
            </w:r>
          </w:p>
        </w:tc>
        <w:tc>
          <w:tcPr>
            <w:tcW w:w="1788"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教育部等四部门</w:t>
            </w:r>
          </w:p>
        </w:tc>
        <w:tc>
          <w:tcPr>
            <w:tcW w:w="275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教育部等四部门关于印发《深化新时代职业教育“双师型”教师队伍建设改革实施方案》的通知</w:t>
            </w:r>
          </w:p>
        </w:tc>
        <w:tc>
          <w:tcPr>
            <w:tcW w:w="1789"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教师〔2019〕6号</w:t>
            </w:r>
          </w:p>
        </w:tc>
        <w:tc>
          <w:tcPr>
            <w:tcW w:w="129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2019.09.23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15</w:t>
            </w:r>
          </w:p>
        </w:tc>
        <w:tc>
          <w:tcPr>
            <w:tcW w:w="1788"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教育部办公厅</w:t>
            </w:r>
          </w:p>
        </w:tc>
        <w:tc>
          <w:tcPr>
            <w:tcW w:w="275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教育部办公厅关于办好深度贫困地区职业教育助力脱贫攻坚的指导意见</w:t>
            </w:r>
          </w:p>
        </w:tc>
        <w:tc>
          <w:tcPr>
            <w:tcW w:w="1789"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教职成厅〔2019〕4号</w:t>
            </w:r>
          </w:p>
        </w:tc>
        <w:tc>
          <w:tcPr>
            <w:tcW w:w="129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2019.10.16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jc w:val="center"/>
              <w:rPr>
                <w:rFonts w:hint="default" w:ascii="Times New Roman" w:hAnsi="Times New Roman" w:eastAsia="宋体" w:cs="宋体"/>
                <w:kern w:val="0"/>
                <w:lang w:val="en-US" w:eastAsia="zh-CN"/>
              </w:rPr>
            </w:pPr>
            <w:r>
              <w:rPr>
                <w:rFonts w:hint="eastAsia" w:ascii="Times New Roman" w:hAnsi="Times New Roman"/>
                <w:kern w:val="0"/>
                <w:lang w:val="en-US" w:eastAsia="zh-CN"/>
              </w:rPr>
              <w:t>16</w:t>
            </w:r>
          </w:p>
        </w:tc>
        <w:tc>
          <w:tcPr>
            <w:tcW w:w="1788"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教育部办公厅等十四部门</w:t>
            </w:r>
          </w:p>
        </w:tc>
        <w:tc>
          <w:tcPr>
            <w:tcW w:w="275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教育部办公厅等十四部门关于印发《职业院校全面开展职业培训 促进就业创业行动计划》的通知</w:t>
            </w:r>
          </w:p>
        </w:tc>
        <w:tc>
          <w:tcPr>
            <w:tcW w:w="1789"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教职成厅〔2019〕5号</w:t>
            </w:r>
          </w:p>
        </w:tc>
        <w:tc>
          <w:tcPr>
            <w:tcW w:w="129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2019.11.18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spacing w:before="100" w:beforeAutospacing="1" w:after="142"/>
              <w:jc w:val="center"/>
              <w:rPr>
                <w:rFonts w:ascii="Times New Roman" w:hAnsi="Times New Roman"/>
                <w:color w:val="000000"/>
                <w:kern w:val="0"/>
                <w:szCs w:val="21"/>
              </w:rPr>
            </w:pPr>
            <w:r>
              <w:rPr>
                <w:rFonts w:hint="eastAsia" w:ascii="Times New Roman" w:hAnsi="Times New Roman"/>
                <w:color w:val="000000"/>
                <w:kern w:val="0"/>
                <w:szCs w:val="21"/>
              </w:rPr>
              <w:t>1</w:t>
            </w:r>
            <w:r>
              <w:rPr>
                <w:rFonts w:hint="eastAsia" w:ascii="Times New Roman" w:hAnsi="Times New Roman"/>
                <w:color w:val="000000"/>
                <w:kern w:val="0"/>
                <w:szCs w:val="21"/>
                <w:lang w:val="en-US" w:eastAsia="zh-CN"/>
              </w:rPr>
              <w:t>7</w:t>
            </w:r>
          </w:p>
        </w:tc>
        <w:tc>
          <w:tcPr>
            <w:tcW w:w="1788"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w:t>
            </w:r>
          </w:p>
        </w:tc>
        <w:tc>
          <w:tcPr>
            <w:tcW w:w="275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教育部关于加强和改进新时代中等职业学校德育工作的意见</w:t>
            </w:r>
          </w:p>
        </w:tc>
        <w:tc>
          <w:tcPr>
            <w:tcW w:w="1789"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教职成厅〔2019〕7号</w:t>
            </w:r>
          </w:p>
        </w:tc>
        <w:tc>
          <w:tcPr>
            <w:tcW w:w="1290" w:type="dxa"/>
            <w:shd w:val="clear" w:color="auto" w:fill="auto"/>
            <w:vAlign w:val="center"/>
          </w:tcPr>
          <w:p>
            <w:pPr>
              <w:widowControl/>
              <w:jc w:val="center"/>
              <w:rPr>
                <w:rFonts w:ascii="Times New Roman" w:hAnsi="Times New Roman" w:cs="宋体"/>
                <w:kern w:val="0"/>
              </w:rPr>
            </w:pPr>
            <w:r>
              <w:rPr>
                <w:rFonts w:hint="eastAsia" w:ascii="Times New Roman" w:hAnsi="Times New Roman"/>
                <w:kern w:val="0"/>
              </w:rPr>
              <w:t>2019.12.03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spacing w:before="100" w:beforeAutospacing="1" w:after="142"/>
              <w:jc w:val="center"/>
              <w:rPr>
                <w:rFonts w:ascii="Times New Roman" w:hAnsi="Times New Roman"/>
                <w:color w:val="000000"/>
                <w:kern w:val="0"/>
                <w:szCs w:val="21"/>
              </w:rPr>
            </w:pPr>
            <w:r>
              <w:rPr>
                <w:rFonts w:hint="eastAsia" w:ascii="Times New Roman" w:hAnsi="Times New Roman"/>
                <w:color w:val="000000"/>
                <w:kern w:val="0"/>
                <w:szCs w:val="21"/>
                <w:lang w:val="en-US" w:eastAsia="zh-CN"/>
              </w:rPr>
              <w:t>18</w:t>
            </w:r>
          </w:p>
        </w:tc>
        <w:tc>
          <w:tcPr>
            <w:tcW w:w="1788" w:type="dxa"/>
            <w:shd w:val="clear" w:color="auto" w:fill="auto"/>
            <w:vAlign w:val="center"/>
          </w:tcPr>
          <w:p>
            <w:pPr>
              <w:widowControl/>
              <w:spacing w:before="100" w:beforeAutospacing="1" w:after="142"/>
              <w:jc w:val="center"/>
              <w:rPr>
                <w:rFonts w:ascii="Times New Roman" w:hAnsi="Times New Roman"/>
                <w:color w:val="000000"/>
                <w:kern w:val="0"/>
                <w:szCs w:val="21"/>
              </w:rPr>
            </w:pPr>
            <w:r>
              <w:rPr>
                <w:rFonts w:hint="eastAsia" w:ascii="Times New Roman" w:hAnsi="Times New Roman"/>
                <w:color w:val="000000"/>
                <w:szCs w:val="21"/>
              </w:rPr>
              <w:t>青海省人民政府</w:t>
            </w:r>
          </w:p>
        </w:tc>
        <w:tc>
          <w:tcPr>
            <w:tcW w:w="2750" w:type="dxa"/>
            <w:shd w:val="clear" w:color="auto" w:fill="auto"/>
            <w:vAlign w:val="center"/>
          </w:tcPr>
          <w:p>
            <w:pPr>
              <w:spacing w:afterLines="20"/>
              <w:jc w:val="center"/>
              <w:rPr>
                <w:rFonts w:ascii="Times New Roman" w:hAnsi="Times New Roman"/>
                <w:b/>
                <w:color w:val="000000"/>
                <w:szCs w:val="21"/>
              </w:rPr>
            </w:pPr>
            <w:r>
              <w:rPr>
                <w:rFonts w:hint="eastAsia" w:ascii="Times New Roman" w:hAnsi="Times New Roman"/>
                <w:color w:val="000000"/>
                <w:szCs w:val="21"/>
              </w:rPr>
              <w:t>青海省人民政府关于印发青海省贯彻落实《国家职业教育改革实施方案》若干措施的通知</w:t>
            </w:r>
          </w:p>
        </w:tc>
        <w:tc>
          <w:tcPr>
            <w:tcW w:w="1789" w:type="dxa"/>
            <w:shd w:val="clear" w:color="auto" w:fill="auto"/>
            <w:vAlign w:val="center"/>
          </w:tcPr>
          <w:p>
            <w:pPr>
              <w:widowControl/>
              <w:spacing w:before="100" w:beforeAutospacing="1" w:after="142"/>
              <w:jc w:val="center"/>
              <w:rPr>
                <w:rFonts w:ascii="Times New Roman" w:hAnsi="Times New Roman"/>
                <w:color w:val="000000"/>
                <w:kern w:val="0"/>
                <w:szCs w:val="21"/>
              </w:rPr>
            </w:pPr>
            <w:r>
              <w:rPr>
                <w:rFonts w:hint="eastAsia" w:ascii="Times New Roman" w:hAnsi="Times New Roman"/>
                <w:color w:val="000000"/>
                <w:szCs w:val="21"/>
              </w:rPr>
              <w:t>青政〔2019〕34号</w:t>
            </w:r>
          </w:p>
        </w:tc>
        <w:tc>
          <w:tcPr>
            <w:tcW w:w="1290" w:type="dxa"/>
            <w:shd w:val="clear" w:color="auto" w:fill="auto"/>
            <w:vAlign w:val="center"/>
          </w:tcPr>
          <w:p>
            <w:pPr>
              <w:widowControl/>
              <w:spacing w:before="100" w:beforeAutospacing="1" w:after="142"/>
              <w:jc w:val="center"/>
              <w:rPr>
                <w:rFonts w:ascii="Times New Roman" w:hAnsi="Times New Roman"/>
                <w:color w:val="000000"/>
                <w:kern w:val="0"/>
                <w:szCs w:val="21"/>
              </w:rPr>
            </w:pPr>
            <w:r>
              <w:rPr>
                <w:rFonts w:hint="eastAsia" w:ascii="Times New Roman" w:hAnsi="Times New Roman"/>
                <w:color w:val="000000"/>
                <w:kern w:val="0"/>
                <w:szCs w:val="21"/>
              </w:rPr>
              <w:t>2019.</w:t>
            </w:r>
            <w:r>
              <w:rPr>
                <w:rFonts w:ascii="Times New Roman" w:hAnsi="Times New Roman"/>
                <w:color w:val="000000"/>
                <w:kern w:val="0"/>
                <w:szCs w:val="21"/>
              </w:rPr>
              <w:t>0</w:t>
            </w:r>
            <w:r>
              <w:rPr>
                <w:rFonts w:hint="eastAsia" w:ascii="Times New Roman" w:hAnsi="Times New Roman"/>
                <w:color w:val="000000"/>
                <w:kern w:val="0"/>
                <w:szCs w:val="21"/>
              </w:rPr>
              <w:t>6.</w:t>
            </w:r>
            <w:r>
              <w:rPr>
                <w:rFonts w:ascii="Times New Roman" w:hAnsi="Times New Roman"/>
                <w:color w:val="000000"/>
                <w:kern w:val="0"/>
                <w:szCs w:val="21"/>
              </w:rPr>
              <w:t>0</w:t>
            </w:r>
            <w:r>
              <w:rPr>
                <w:rFonts w:hint="eastAsia" w:ascii="Times New Roman" w:hAnsi="Times New Roman"/>
                <w:color w:val="000000"/>
                <w:kern w:val="0"/>
                <w:szCs w:val="21"/>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spacing w:before="100" w:beforeAutospacing="1" w:after="142"/>
              <w:jc w:val="center"/>
              <w:rPr>
                <w:rFonts w:ascii="Times New Roman" w:hAnsi="Times New Roman"/>
                <w:color w:val="000000"/>
                <w:kern w:val="0"/>
                <w:szCs w:val="21"/>
              </w:rPr>
            </w:pPr>
            <w:r>
              <w:rPr>
                <w:rFonts w:hint="eastAsia" w:ascii="Times New Roman" w:hAnsi="Times New Roman"/>
                <w:color w:val="000000"/>
                <w:kern w:val="0"/>
                <w:szCs w:val="21"/>
                <w:lang w:val="en-US" w:eastAsia="zh-CN"/>
              </w:rPr>
              <w:t>19</w:t>
            </w:r>
          </w:p>
        </w:tc>
        <w:tc>
          <w:tcPr>
            <w:tcW w:w="1788" w:type="dxa"/>
            <w:shd w:val="clear" w:color="auto" w:fill="auto"/>
            <w:vAlign w:val="center"/>
          </w:tcPr>
          <w:p>
            <w:pPr>
              <w:widowControl/>
              <w:spacing w:before="100" w:beforeAutospacing="1" w:after="142"/>
              <w:jc w:val="center"/>
              <w:rPr>
                <w:rFonts w:ascii="Times New Roman" w:hAnsi="Times New Roman"/>
                <w:color w:val="000000"/>
                <w:kern w:val="0"/>
                <w:szCs w:val="21"/>
              </w:rPr>
            </w:pPr>
            <w:r>
              <w:rPr>
                <w:rFonts w:hint="eastAsia" w:ascii="Times New Roman" w:hAnsi="Times New Roman"/>
                <w:color w:val="000000"/>
                <w:szCs w:val="21"/>
              </w:rPr>
              <w:t>青海省人民政府办公厅</w:t>
            </w:r>
          </w:p>
        </w:tc>
        <w:tc>
          <w:tcPr>
            <w:tcW w:w="2750" w:type="dxa"/>
            <w:shd w:val="clear" w:color="auto" w:fill="auto"/>
            <w:vAlign w:val="center"/>
          </w:tcPr>
          <w:p>
            <w:pPr>
              <w:spacing w:afterLines="20"/>
              <w:jc w:val="center"/>
              <w:rPr>
                <w:rFonts w:ascii="Times New Roman" w:hAnsi="Times New Roman"/>
                <w:color w:val="000000"/>
                <w:szCs w:val="21"/>
              </w:rPr>
            </w:pPr>
            <w:r>
              <w:rPr>
                <w:rFonts w:hint="eastAsia" w:ascii="Times New Roman" w:hAnsi="Times New Roman"/>
                <w:color w:val="000000"/>
                <w:szCs w:val="21"/>
              </w:rPr>
              <w:t>青海省人民政府办公厅关于深化产教融合的实施意见</w:t>
            </w:r>
          </w:p>
        </w:tc>
        <w:tc>
          <w:tcPr>
            <w:tcW w:w="1789" w:type="dxa"/>
            <w:shd w:val="clear" w:color="auto" w:fill="auto"/>
            <w:vAlign w:val="center"/>
          </w:tcPr>
          <w:p>
            <w:pPr>
              <w:widowControl/>
              <w:spacing w:before="100" w:beforeAutospacing="1" w:after="142"/>
              <w:jc w:val="center"/>
              <w:rPr>
                <w:rFonts w:ascii="Times New Roman" w:hAnsi="Times New Roman"/>
                <w:color w:val="000000"/>
                <w:kern w:val="0"/>
                <w:szCs w:val="21"/>
              </w:rPr>
            </w:pPr>
            <w:r>
              <w:rPr>
                <w:rFonts w:hint="eastAsia" w:ascii="Times New Roman" w:hAnsi="Times New Roman"/>
                <w:color w:val="000000"/>
                <w:szCs w:val="21"/>
              </w:rPr>
              <w:t>青政办〔2018〕160号</w:t>
            </w:r>
          </w:p>
        </w:tc>
        <w:tc>
          <w:tcPr>
            <w:tcW w:w="1290" w:type="dxa"/>
            <w:shd w:val="clear" w:color="auto" w:fill="auto"/>
            <w:vAlign w:val="center"/>
          </w:tcPr>
          <w:p>
            <w:pPr>
              <w:widowControl/>
              <w:spacing w:before="100" w:beforeAutospacing="1" w:after="142"/>
              <w:jc w:val="center"/>
              <w:rPr>
                <w:rFonts w:ascii="Times New Roman" w:hAnsi="Times New Roman"/>
                <w:color w:val="000000"/>
                <w:kern w:val="0"/>
                <w:szCs w:val="21"/>
              </w:rPr>
            </w:pPr>
            <w:r>
              <w:rPr>
                <w:rFonts w:hint="eastAsia" w:ascii="Times New Roman" w:hAnsi="Times New Roman"/>
                <w:color w:val="000000"/>
                <w:kern w:val="0"/>
                <w:szCs w:val="21"/>
              </w:rPr>
              <w:t>2018.11.</w:t>
            </w:r>
            <w:r>
              <w:rPr>
                <w:rFonts w:ascii="Times New Roman" w:hAnsi="Times New Roman"/>
                <w:color w:val="000000"/>
                <w:kern w:val="0"/>
                <w:szCs w:val="21"/>
              </w:rPr>
              <w:t>0</w:t>
            </w:r>
            <w:r>
              <w:rPr>
                <w:rFonts w:hint="eastAsia" w:ascii="Times New Roman" w:hAnsi="Times New Roman"/>
                <w:color w:val="000000"/>
                <w:kern w:val="0"/>
                <w:szCs w:val="21"/>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spacing w:before="100" w:beforeAutospacing="1" w:after="142"/>
              <w:jc w:val="center"/>
              <w:rPr>
                <w:rFonts w:hint="default" w:ascii="Times New Roman" w:hAnsi="Times New Roman" w:eastAsia="宋体"/>
                <w:color w:val="000000"/>
                <w:kern w:val="0"/>
                <w:szCs w:val="21"/>
                <w:lang w:val="en-US" w:eastAsia="zh-CN"/>
              </w:rPr>
            </w:pPr>
            <w:r>
              <w:rPr>
                <w:rFonts w:hint="eastAsia" w:ascii="Times New Roman" w:hAnsi="Times New Roman"/>
                <w:color w:val="000000"/>
                <w:kern w:val="0"/>
                <w:szCs w:val="21"/>
                <w:lang w:val="en-US" w:eastAsia="zh-CN"/>
              </w:rPr>
              <w:t>20</w:t>
            </w:r>
          </w:p>
        </w:tc>
        <w:tc>
          <w:tcPr>
            <w:tcW w:w="1788" w:type="dxa"/>
            <w:shd w:val="clear" w:color="auto" w:fill="auto"/>
            <w:vAlign w:val="center"/>
          </w:tcPr>
          <w:p>
            <w:pPr>
              <w:widowControl/>
              <w:spacing w:before="100" w:beforeAutospacing="1" w:after="142"/>
              <w:jc w:val="center"/>
              <w:rPr>
                <w:rFonts w:hint="eastAsia" w:ascii="Times New Roman" w:hAnsi="Times New Roman"/>
                <w:color w:val="000000"/>
                <w:szCs w:val="21"/>
              </w:rPr>
            </w:pPr>
            <w:r>
              <w:rPr>
                <w:rFonts w:hint="eastAsia" w:ascii="Times New Roman" w:hAnsi="Times New Roman"/>
                <w:color w:val="000000"/>
                <w:szCs w:val="21"/>
              </w:rPr>
              <w:t>中共中央办公厅 国务院办公厅</w:t>
            </w:r>
          </w:p>
        </w:tc>
        <w:tc>
          <w:tcPr>
            <w:tcW w:w="2750" w:type="dxa"/>
            <w:shd w:val="clear" w:color="auto" w:fill="auto"/>
            <w:vAlign w:val="center"/>
          </w:tcPr>
          <w:p>
            <w:pPr>
              <w:spacing w:afterLines="20"/>
              <w:jc w:val="center"/>
              <w:rPr>
                <w:rFonts w:hint="eastAsia" w:ascii="Times New Roman" w:hAnsi="Times New Roman"/>
                <w:color w:val="000000"/>
                <w:szCs w:val="21"/>
              </w:rPr>
            </w:pPr>
            <w:r>
              <w:rPr>
                <w:rFonts w:hint="eastAsia" w:ascii="Times New Roman" w:hAnsi="Times New Roman"/>
                <w:color w:val="000000"/>
                <w:szCs w:val="21"/>
              </w:rPr>
              <w:t>关于推动现代职业教育高质量发展的意见</w:t>
            </w:r>
          </w:p>
        </w:tc>
        <w:tc>
          <w:tcPr>
            <w:tcW w:w="1789" w:type="dxa"/>
            <w:shd w:val="clear" w:color="auto" w:fill="auto"/>
            <w:vAlign w:val="center"/>
          </w:tcPr>
          <w:p>
            <w:pPr>
              <w:widowControl/>
              <w:spacing w:before="100" w:beforeAutospacing="1" w:after="142"/>
              <w:jc w:val="center"/>
              <w:rPr>
                <w:rFonts w:hint="eastAsia" w:ascii="Times New Roman" w:hAnsi="Times New Roman" w:eastAsia="宋体"/>
                <w:color w:val="000000"/>
                <w:szCs w:val="21"/>
                <w:lang w:eastAsia="zh-CN"/>
              </w:rPr>
            </w:pPr>
            <w:r>
              <w:rPr>
                <w:rFonts w:hint="eastAsia" w:ascii="Times New Roman" w:hAnsi="Times New Roman"/>
                <w:color w:val="000000"/>
                <w:szCs w:val="21"/>
                <w:lang w:eastAsia="zh-CN"/>
              </w:rPr>
              <w:t>——</w:t>
            </w:r>
          </w:p>
        </w:tc>
        <w:tc>
          <w:tcPr>
            <w:tcW w:w="1290" w:type="dxa"/>
            <w:shd w:val="clear" w:color="auto" w:fill="auto"/>
            <w:vAlign w:val="center"/>
          </w:tcPr>
          <w:p>
            <w:pPr>
              <w:widowControl/>
              <w:spacing w:before="100" w:beforeAutospacing="1" w:after="142"/>
              <w:jc w:val="center"/>
              <w:rPr>
                <w:rFonts w:hint="default" w:ascii="Times New Roman" w:hAnsi="Times New Roman" w:eastAsia="宋体"/>
                <w:color w:val="000000"/>
                <w:kern w:val="0"/>
                <w:szCs w:val="21"/>
                <w:lang w:val="en-US" w:eastAsia="zh-CN"/>
              </w:rPr>
            </w:pPr>
            <w:r>
              <w:rPr>
                <w:rFonts w:hint="eastAsia" w:ascii="Times New Roman" w:hAnsi="Times New Roman"/>
                <w:color w:val="000000"/>
                <w:kern w:val="0"/>
                <w:szCs w:val="21"/>
                <w:lang w:val="en-US" w:eastAsia="zh-CN"/>
              </w:rPr>
              <w:t>2021.10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61" w:type="dxa"/>
            <w:shd w:val="clear" w:color="auto" w:fill="auto"/>
            <w:vAlign w:val="center"/>
          </w:tcPr>
          <w:p>
            <w:pPr>
              <w:widowControl/>
              <w:spacing w:before="100" w:beforeAutospacing="1" w:after="142"/>
              <w:jc w:val="center"/>
              <w:rPr>
                <w:rFonts w:ascii="Times New Roman" w:hAnsi="Times New Roman"/>
                <w:color w:val="000000"/>
                <w:kern w:val="0"/>
                <w:szCs w:val="21"/>
              </w:rPr>
            </w:pPr>
            <w:r>
              <w:rPr>
                <w:rFonts w:hint="eastAsia" w:ascii="Times New Roman" w:hAnsi="Times New Roman"/>
                <w:color w:val="000000"/>
                <w:kern w:val="0"/>
                <w:szCs w:val="21"/>
              </w:rPr>
              <w:t>2</w:t>
            </w:r>
            <w:r>
              <w:rPr>
                <w:rFonts w:hint="eastAsia" w:ascii="Times New Roman" w:hAnsi="Times New Roman"/>
                <w:color w:val="000000"/>
                <w:kern w:val="0"/>
                <w:szCs w:val="21"/>
                <w:lang w:val="en-US" w:eastAsia="zh-CN"/>
              </w:rPr>
              <w:t>1</w:t>
            </w:r>
          </w:p>
        </w:tc>
        <w:tc>
          <w:tcPr>
            <w:tcW w:w="1788" w:type="dxa"/>
            <w:shd w:val="clear" w:color="auto" w:fill="auto"/>
            <w:vAlign w:val="center"/>
          </w:tcPr>
          <w:p>
            <w:pPr>
              <w:widowControl/>
              <w:spacing w:before="100" w:beforeAutospacing="1" w:after="142"/>
              <w:jc w:val="center"/>
              <w:rPr>
                <w:rFonts w:ascii="Times New Roman" w:hAnsi="Times New Roman"/>
                <w:color w:val="000000"/>
                <w:szCs w:val="21"/>
              </w:rPr>
            </w:pPr>
            <w:r>
              <w:rPr>
                <w:rFonts w:hint="eastAsia" w:ascii="Times New Roman" w:hAnsi="Times New Roman"/>
                <w:color w:val="000000"/>
                <w:szCs w:val="21"/>
              </w:rPr>
              <w:t>教育部</w:t>
            </w:r>
          </w:p>
        </w:tc>
        <w:tc>
          <w:tcPr>
            <w:tcW w:w="2750" w:type="dxa"/>
            <w:shd w:val="clear" w:color="auto" w:fill="auto"/>
            <w:vAlign w:val="center"/>
          </w:tcPr>
          <w:p>
            <w:pPr>
              <w:spacing w:afterLines="20"/>
              <w:jc w:val="center"/>
              <w:rPr>
                <w:rFonts w:ascii="Times New Roman" w:hAnsi="Times New Roman"/>
                <w:color w:val="000000"/>
                <w:szCs w:val="21"/>
              </w:rPr>
            </w:pPr>
            <w:r>
              <w:rPr>
                <w:rFonts w:hint="eastAsia" w:ascii="Times New Roman" w:hAnsi="Times New Roman"/>
                <w:color w:val="000000"/>
                <w:szCs w:val="21"/>
              </w:rPr>
              <w:t>关于做好2022年职业教育质量年度报告编制、发布和报送工作的通知</w:t>
            </w:r>
          </w:p>
        </w:tc>
        <w:tc>
          <w:tcPr>
            <w:tcW w:w="1789" w:type="dxa"/>
            <w:shd w:val="clear" w:color="auto" w:fill="auto"/>
            <w:vAlign w:val="center"/>
          </w:tcPr>
          <w:p>
            <w:pPr>
              <w:widowControl/>
              <w:spacing w:before="100" w:beforeAutospacing="1" w:after="142"/>
              <w:jc w:val="center"/>
              <w:rPr>
                <w:rFonts w:ascii="Times New Roman" w:hAnsi="Times New Roman"/>
                <w:color w:val="000000"/>
                <w:szCs w:val="21"/>
              </w:rPr>
            </w:pPr>
            <w:r>
              <w:rPr>
                <w:rFonts w:hint="eastAsia" w:ascii="Times New Roman" w:hAnsi="Times New Roman"/>
                <w:color w:val="000000"/>
                <w:szCs w:val="21"/>
              </w:rPr>
              <w:t>教职成司函〔2021〕37号</w:t>
            </w:r>
          </w:p>
        </w:tc>
        <w:tc>
          <w:tcPr>
            <w:tcW w:w="1290" w:type="dxa"/>
            <w:shd w:val="clear" w:color="auto" w:fill="auto"/>
            <w:vAlign w:val="center"/>
          </w:tcPr>
          <w:p>
            <w:pPr>
              <w:widowControl/>
              <w:spacing w:before="100" w:beforeAutospacing="1" w:after="142"/>
              <w:jc w:val="center"/>
              <w:rPr>
                <w:rFonts w:hint="default" w:ascii="Times New Roman" w:hAnsi="Times New Roman" w:eastAsia="宋体"/>
                <w:color w:val="000000"/>
                <w:kern w:val="0"/>
                <w:szCs w:val="21"/>
                <w:lang w:val="en-US" w:eastAsia="zh-CN"/>
              </w:rPr>
            </w:pPr>
            <w:r>
              <w:rPr>
                <w:rFonts w:hint="eastAsia" w:ascii="Times New Roman" w:hAnsi="Times New Roman"/>
                <w:color w:val="000000"/>
                <w:kern w:val="0"/>
                <w:szCs w:val="21"/>
              </w:rPr>
              <w:t>202</w:t>
            </w:r>
            <w:r>
              <w:rPr>
                <w:rFonts w:hint="eastAsia" w:ascii="Times New Roman" w:hAnsi="Times New Roman"/>
                <w:color w:val="000000"/>
                <w:kern w:val="0"/>
                <w:szCs w:val="21"/>
                <w:lang w:val="en-US" w:eastAsia="zh-CN"/>
              </w:rPr>
              <w:t>1.09.14</w:t>
            </w:r>
          </w:p>
        </w:tc>
      </w:tr>
    </w:tbl>
    <w:p>
      <w:pPr>
        <w:pStyle w:val="34"/>
        <w:ind w:firstLine="0" w:firstLineChars="0"/>
        <w:rPr>
          <w:rFonts w:ascii="Times New Roman" w:hAnsi="Times New Roman" w:eastAsia="华文楷体" w:cs="华文楷体"/>
          <w:sz w:val="21"/>
          <w:szCs w:val="21"/>
        </w:rPr>
      </w:pPr>
      <w:r>
        <w:rPr>
          <w:rFonts w:hint="eastAsia" w:ascii="Times New Roman" w:hAnsi="Times New Roman" w:eastAsia="华文楷体" w:cs="华文楷体"/>
          <w:sz w:val="21"/>
          <w:szCs w:val="21"/>
        </w:rPr>
        <w:t>备注：政策依据主要列举截至2020年11月出台的主要文件，根据出台时间先后顺序排列，其他相关政策请参阅教育部官网，如需电子版政策汇编全文，欢迎致电兴合田研究院（028-83331560）。</w:t>
      </w:r>
    </w:p>
    <w:p>
      <w:pPr>
        <w:widowControl/>
        <w:jc w:val="left"/>
        <w:rPr>
          <w:rFonts w:ascii="Times New Roman" w:hAnsi="Times New Roman"/>
        </w:rPr>
      </w:pPr>
    </w:p>
    <w:p>
      <w:pPr>
        <w:widowControl/>
        <w:jc w:val="left"/>
        <w:rPr>
          <w:rFonts w:ascii="Times New Roman" w:hAnsi="Times New Roman"/>
        </w:rPr>
      </w:pPr>
    </w:p>
    <w:p>
      <w:pPr>
        <w:widowControl/>
        <w:jc w:val="left"/>
        <w:rPr>
          <w:rFonts w:ascii="Times New Roman" w:hAnsi="Times New Roman"/>
        </w:rPr>
      </w:pPr>
    </w:p>
    <w:p>
      <w:pPr>
        <w:widowControl/>
        <w:jc w:val="left"/>
        <w:rPr>
          <w:rFonts w:ascii="Times New Roman" w:hAnsi="Times New Roman"/>
        </w:rPr>
      </w:pPr>
    </w:p>
    <w:p>
      <w:pPr>
        <w:widowControl/>
        <w:jc w:val="left"/>
      </w:pPr>
      <w:r>
        <w:rPr>
          <w:rFonts w:ascii="Times New Roman" w:hAnsi="Times New Roman"/>
        </w:rPr>
        <w:drawing>
          <wp:anchor distT="0" distB="0" distL="114300" distR="114300" simplePos="0" relativeHeight="251664384" behindDoc="0" locked="0" layoutInCell="1" allowOverlap="1">
            <wp:simplePos x="0" y="0"/>
            <wp:positionH relativeFrom="margin">
              <wp:posOffset>-1123315</wp:posOffset>
            </wp:positionH>
            <wp:positionV relativeFrom="margin">
              <wp:posOffset>-894715</wp:posOffset>
            </wp:positionV>
            <wp:extent cx="7905115" cy="11179175"/>
            <wp:effectExtent l="0" t="0" r="635" b="3175"/>
            <wp:wrapSquare wrapText="bothSides"/>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pic:cNvPicPr>
                      <a:picLocks noChangeAspect="1" noChangeArrowheads="1"/>
                    </pic:cNvPicPr>
                  </pic:nvPicPr>
                  <pic:blipFill>
                    <a:blip r:embed="rId46" cstate="print"/>
                    <a:stretch>
                      <a:fillRect/>
                    </a:stretch>
                  </pic:blipFill>
                  <pic:spPr>
                    <a:xfrm>
                      <a:off x="0" y="0"/>
                      <a:ext cx="7905115" cy="11179175"/>
                    </a:xfrm>
                    <a:prstGeom prst="rect">
                      <a:avLst/>
                    </a:prstGeom>
                    <a:noFill/>
                    <a:ln>
                      <a:noFill/>
                    </a:ln>
                  </pic:spPr>
                </pic:pic>
              </a:graphicData>
            </a:graphic>
          </wp:anchor>
        </w:drawing>
      </w:r>
    </w:p>
    <w:sectPr>
      <w:headerReference r:id="rId7" w:type="default"/>
      <w:footerReference r:id="rId9" w:type="default"/>
      <w:headerReference r:id="rId8" w:type="even"/>
      <w:pgSz w:w="11906" w:h="16838"/>
      <w:pgMar w:top="1440" w:right="1800" w:bottom="1440" w:left="1800" w:header="567"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Helvetica">
    <w:altName w:val="Arial"/>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2FF" w:usb1="400004FF" w:usb2="00000000" w:usb3="00000000" w:csb0="2000019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10"/>
          <w:jc w:val="cente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fldChar w:fldCharType="begin"/>
    </w:r>
    <w:r>
      <w:instrText xml:space="preserve">PAGE   \* MERGEFORMAT</w:instrText>
    </w:r>
    <w:r>
      <w:fldChar w:fldCharType="separate"/>
    </w:r>
    <w:r>
      <w:rPr>
        <w:lang w:val="zh-CN"/>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8">
    <w:p>
      <w:r>
        <w:separator/>
      </w:r>
    </w:p>
  </w:footnote>
  <w:footnote w:type="continuationSeparator" w:id="29">
    <w:p>
      <w:r>
        <w:continuationSeparator/>
      </w:r>
    </w:p>
  </w:footnote>
  <w:footnote w:id="0">
    <w:p>
      <w:pPr>
        <w:pStyle w:val="13"/>
      </w:pPr>
      <w:r>
        <w:rPr>
          <w:rStyle w:val="22"/>
        </w:rPr>
        <w:footnoteRef/>
      </w:r>
      <w:r>
        <w:t xml:space="preserve"> </w:t>
      </w:r>
      <w:r>
        <w:rPr>
          <w:rFonts w:hint="eastAsia" w:ascii="宋体" w:hAnsi="宋体" w:cs="黑体"/>
          <w:b/>
          <w:color w:val="000000"/>
          <w:sz w:val="21"/>
          <w:szCs w:val="21"/>
        </w:rPr>
        <w:t>学校占地面积：</w:t>
      </w:r>
      <w:r>
        <w:rPr>
          <w:rFonts w:hint="eastAsia" w:ascii="宋体" w:hAnsi="宋体" w:cs="黑体"/>
          <w:color w:val="000000"/>
          <w:sz w:val="21"/>
          <w:szCs w:val="21"/>
        </w:rPr>
        <w:t>是指学校具有国家颁发的土地使用权证所占用的土地面积，包括学校体育场、绿化用地，不包括农场、林场的占地面积。（平方米）</w:t>
      </w:r>
    </w:p>
  </w:footnote>
  <w:footnote w:id="1">
    <w:p>
      <w:pPr>
        <w:pStyle w:val="13"/>
      </w:pPr>
      <w:r>
        <w:rPr>
          <w:rStyle w:val="22"/>
        </w:rPr>
        <w:footnoteRef/>
      </w:r>
      <w:r>
        <w:t xml:space="preserve"> </w:t>
      </w:r>
      <w:r>
        <w:rPr>
          <w:rFonts w:hint="eastAsia" w:ascii="宋体" w:hAnsi="宋体" w:cs="黑体"/>
          <w:b/>
          <w:color w:val="000000"/>
          <w:sz w:val="21"/>
          <w:szCs w:val="21"/>
        </w:rPr>
        <w:t>生均学校占地面积：</w:t>
      </w:r>
      <w:r>
        <w:rPr>
          <w:rFonts w:hint="eastAsia" w:ascii="宋体" w:hAnsi="宋体" w:cs="黑体"/>
          <w:color w:val="000000"/>
          <w:sz w:val="21"/>
          <w:szCs w:val="21"/>
        </w:rPr>
        <w:t>中等职业学校学校占地总面积/中等职业学校在校生总数（平方米/生）。标准中生均占地建筑面积不少于33平方米。</w:t>
      </w:r>
    </w:p>
  </w:footnote>
  <w:footnote w:id="2">
    <w:p>
      <w:pPr>
        <w:pStyle w:val="13"/>
        <w:rPr>
          <w:rFonts w:ascii="宋体" w:hAnsi="宋体"/>
        </w:rPr>
      </w:pPr>
      <w:r>
        <w:rPr>
          <w:rStyle w:val="22"/>
        </w:rPr>
        <w:footnoteRef/>
      </w:r>
      <w:r>
        <w:t xml:space="preserve"> </w:t>
      </w:r>
      <w:r>
        <w:rPr>
          <w:rFonts w:hint="eastAsia" w:ascii="宋体" w:hAnsi="宋体" w:cs="黑体"/>
          <w:b/>
          <w:color w:val="000000"/>
          <w:sz w:val="21"/>
          <w:szCs w:val="21"/>
        </w:rPr>
        <w:t>校舍建筑面积：</w:t>
      </w:r>
      <w:r>
        <w:rPr>
          <w:rFonts w:hint="eastAsia" w:ascii="宋体" w:hAnsi="宋体" w:cs="黑体"/>
          <w:color w:val="000000"/>
          <w:sz w:val="21"/>
          <w:szCs w:val="21"/>
        </w:rPr>
        <w:t>是指学校用于办学并可长期（一年以上）占有或使用校舍的建筑面积，包括政府、集体、个人专为办学提供的校舍和学校为办学租借的校舍，不包括尚未竣工的在建工程或已竣工未交付使用校舍、临时搭建棚舍。（平方米）</w:t>
      </w:r>
    </w:p>
  </w:footnote>
  <w:footnote w:id="3">
    <w:p>
      <w:pPr>
        <w:pStyle w:val="15"/>
        <w:shd w:val="clear" w:color="auto" w:fill="FFFFFF"/>
        <w:spacing w:before="0" w:beforeAutospacing="0" w:after="0" w:afterAutospacing="0" w:line="0" w:lineRule="atLeast"/>
        <w:rPr>
          <w:rFonts w:cs="黑体"/>
          <w:b/>
          <w:color w:val="000000"/>
          <w:kern w:val="2"/>
        </w:rPr>
      </w:pPr>
      <w:r>
        <w:rPr>
          <w:rStyle w:val="22"/>
        </w:rPr>
        <w:footnoteRef/>
      </w:r>
      <w:r>
        <w:t xml:space="preserve"> </w:t>
      </w:r>
      <w:r>
        <w:rPr>
          <w:rFonts w:hint="eastAsia" w:cs="黑体"/>
          <w:b/>
          <w:color w:val="000000"/>
          <w:kern w:val="2"/>
          <w:sz w:val="21"/>
          <w:szCs w:val="21"/>
        </w:rPr>
        <w:t>生均校舍建筑面积：</w:t>
      </w:r>
      <w:r>
        <w:rPr>
          <w:rFonts w:hint="eastAsia" w:cs="黑体"/>
          <w:color w:val="000000"/>
          <w:kern w:val="2"/>
          <w:sz w:val="21"/>
          <w:szCs w:val="21"/>
        </w:rPr>
        <w:t>中等职业学校校舍建筑总面积</w:t>
      </w:r>
      <w:r>
        <w:rPr>
          <w:rFonts w:cs="黑体"/>
          <w:color w:val="000000"/>
          <w:kern w:val="2"/>
          <w:sz w:val="21"/>
          <w:szCs w:val="21"/>
        </w:rPr>
        <w:t>/</w:t>
      </w:r>
      <w:r>
        <w:rPr>
          <w:rFonts w:hint="eastAsia" w:cs="黑体"/>
          <w:color w:val="000000"/>
          <w:kern w:val="2"/>
          <w:sz w:val="21"/>
          <w:szCs w:val="21"/>
        </w:rPr>
        <w:t>中等职业学校在校生总数（平方米/生）。</w:t>
      </w:r>
      <w:r>
        <w:rPr>
          <w:rFonts w:hint="eastAsia" w:cs="黑体"/>
          <w:color w:val="000000"/>
          <w:sz w:val="21"/>
          <w:szCs w:val="21"/>
        </w:rPr>
        <w:t>标准中生均校舍建筑面积不少于20平方米。</w:t>
      </w:r>
    </w:p>
  </w:footnote>
  <w:footnote w:id="4">
    <w:p>
      <w:pPr>
        <w:pStyle w:val="13"/>
        <w:rPr>
          <w:rFonts w:ascii="宋体" w:hAnsi="宋体" w:cs="黑体"/>
          <w:color w:val="000000"/>
          <w:sz w:val="21"/>
          <w:szCs w:val="21"/>
        </w:rPr>
      </w:pPr>
      <w:r>
        <w:rPr>
          <w:rStyle w:val="22"/>
        </w:rPr>
        <w:footnoteRef/>
      </w:r>
      <w:r>
        <w:rPr>
          <w:rFonts w:hint="eastAsia" w:ascii="宋体" w:hAnsi="宋体" w:cs="黑体"/>
          <w:b/>
          <w:color w:val="000000"/>
          <w:sz w:val="21"/>
          <w:szCs w:val="21"/>
        </w:rPr>
        <w:t>专任教师：</w:t>
      </w:r>
      <w:r>
        <w:rPr>
          <w:rFonts w:hint="eastAsia" w:ascii="宋体" w:hAnsi="宋体" w:cs="黑体"/>
          <w:color w:val="000000"/>
          <w:sz w:val="21"/>
          <w:szCs w:val="21"/>
        </w:rPr>
        <w:t>是指具有教师资格，专门从事教学工作的人员，可包括正式签约聘用的非在编的全职教师。标准中专任教师一般不少于</w:t>
      </w:r>
      <w:r>
        <w:rPr>
          <w:rFonts w:ascii="宋体" w:hAnsi="宋体" w:cs="黑体"/>
          <w:color w:val="000000"/>
          <w:sz w:val="21"/>
          <w:szCs w:val="21"/>
        </w:rPr>
        <w:t>60</w:t>
      </w:r>
      <w:r>
        <w:rPr>
          <w:rFonts w:hint="eastAsia" w:ascii="宋体" w:hAnsi="宋体" w:cs="黑体"/>
          <w:color w:val="000000"/>
          <w:sz w:val="21"/>
          <w:szCs w:val="21"/>
        </w:rPr>
        <w:t>人。</w:t>
      </w:r>
    </w:p>
  </w:footnote>
  <w:footnote w:id="5">
    <w:p>
      <w:pPr>
        <w:pStyle w:val="15"/>
        <w:shd w:val="clear" w:color="auto" w:fill="FFFFFF"/>
        <w:spacing w:before="0" w:beforeAutospacing="0" w:after="0" w:afterAutospacing="0"/>
        <w:rPr>
          <w:rFonts w:cs="黑体"/>
          <w:color w:val="000000"/>
          <w:kern w:val="2"/>
          <w:sz w:val="21"/>
          <w:szCs w:val="21"/>
        </w:rPr>
      </w:pPr>
      <w:r>
        <w:rPr>
          <w:rStyle w:val="22"/>
        </w:rPr>
        <w:footnoteRef/>
      </w:r>
      <w:r>
        <w:rPr>
          <w:rFonts w:hint="eastAsia" w:cs="黑体"/>
          <w:b/>
          <w:color w:val="000000"/>
          <w:kern w:val="2"/>
          <w:sz w:val="21"/>
          <w:szCs w:val="21"/>
        </w:rPr>
        <w:t>生师比：</w:t>
      </w:r>
      <w:r>
        <w:rPr>
          <w:rFonts w:cs="黑体"/>
          <w:color w:val="000000"/>
          <w:kern w:val="2"/>
          <w:sz w:val="21"/>
          <w:szCs w:val="21"/>
        </w:rPr>
        <w:t>是指某学年内每</w:t>
      </w:r>
      <w:r>
        <w:rPr>
          <w:rFonts w:hint="eastAsia" w:cs="黑体"/>
          <w:color w:val="000000"/>
          <w:kern w:val="2"/>
          <w:sz w:val="21"/>
          <w:szCs w:val="21"/>
        </w:rPr>
        <w:t>位专任</w:t>
      </w:r>
      <w:r>
        <w:rPr>
          <w:rFonts w:cs="黑体"/>
          <w:color w:val="000000"/>
          <w:kern w:val="2"/>
          <w:sz w:val="21"/>
          <w:szCs w:val="21"/>
        </w:rPr>
        <w:t>教师平均所教的学生数。生师比=在校生总数/专任教师总数</w:t>
      </w:r>
      <w:r>
        <w:rPr>
          <w:rFonts w:hint="eastAsia" w:cs="黑体"/>
          <w:color w:val="000000"/>
          <w:kern w:val="2"/>
          <w:sz w:val="21"/>
          <w:szCs w:val="21"/>
        </w:rPr>
        <w:t>。</w:t>
      </w:r>
      <w:r>
        <w:rPr>
          <w:rFonts w:hint="eastAsia" w:cs="黑体"/>
          <w:color w:val="000000"/>
          <w:sz w:val="21"/>
          <w:szCs w:val="21"/>
        </w:rPr>
        <w:t>标准中生师比应达到1：</w:t>
      </w:r>
      <w:r>
        <w:rPr>
          <w:rFonts w:cs="黑体"/>
          <w:color w:val="000000"/>
          <w:sz w:val="21"/>
          <w:szCs w:val="21"/>
        </w:rPr>
        <w:t>20</w:t>
      </w:r>
      <w:r>
        <w:rPr>
          <w:rFonts w:hint="eastAsia" w:cs="黑体"/>
          <w:color w:val="000000"/>
          <w:sz w:val="21"/>
          <w:szCs w:val="21"/>
        </w:rPr>
        <w:t>。</w:t>
      </w:r>
    </w:p>
  </w:footnote>
  <w:footnote w:id="6">
    <w:p>
      <w:pPr>
        <w:pStyle w:val="15"/>
        <w:shd w:val="clear" w:color="auto" w:fill="FFFFFF"/>
        <w:spacing w:before="0" w:beforeAutospacing="0" w:after="0" w:afterAutospacing="0"/>
        <w:rPr>
          <w:rFonts w:ascii="Times New Roman" w:hAnsi="Times New Roman" w:cs="黑体"/>
          <w:color w:val="000000"/>
          <w:sz w:val="21"/>
          <w:szCs w:val="21"/>
        </w:rPr>
      </w:pPr>
      <w:r>
        <w:rPr>
          <w:rStyle w:val="22"/>
          <w:rFonts w:ascii="Times New Roman" w:hAnsi="Times New Roman"/>
        </w:rPr>
        <w:footnoteRef/>
      </w:r>
      <w:r>
        <w:rPr>
          <w:rFonts w:hint="eastAsia" w:cs="黑体"/>
          <w:b/>
          <w:color w:val="000000"/>
          <w:kern w:val="2"/>
          <w:sz w:val="21"/>
          <w:szCs w:val="21"/>
        </w:rPr>
        <w:t>双师型教师：</w:t>
      </w:r>
      <w:r>
        <w:rPr>
          <w:rFonts w:hint="eastAsia" w:ascii="Times New Roman" w:hAnsi="Times New Roman" w:cs="黑体"/>
          <w:color w:val="000000"/>
          <w:sz w:val="21"/>
          <w:szCs w:val="21"/>
        </w:rPr>
        <w:t>指具备教师资格和行业能力资格，从事职业教育工作的教师。</w:t>
      </w:r>
    </w:p>
  </w:footnote>
  <w:footnote w:id="7">
    <w:p>
      <w:pPr>
        <w:pStyle w:val="13"/>
        <w:rPr>
          <w:rFonts w:ascii="Times New Roman" w:hAnsi="Times New Roman"/>
          <w:sz w:val="21"/>
          <w:szCs w:val="21"/>
        </w:rPr>
      </w:pPr>
      <w:r>
        <w:rPr>
          <w:rStyle w:val="22"/>
          <w:rFonts w:ascii="Times New Roman" w:hAnsi="Times New Roman"/>
        </w:rPr>
        <w:footnoteRef/>
      </w:r>
      <w:r>
        <w:rPr>
          <w:rFonts w:hint="eastAsia" w:ascii="Times New Roman" w:hAnsi="Times New Roman" w:cs="黑体"/>
          <w:b/>
          <w:color w:val="000000"/>
          <w:sz w:val="21"/>
          <w:szCs w:val="21"/>
        </w:rPr>
        <w:t>“双师型”教师比例：</w:t>
      </w:r>
      <w:r>
        <w:rPr>
          <w:rFonts w:hint="eastAsia" w:ascii="Times New Roman" w:hAnsi="Times New Roman" w:cs="黑体"/>
          <w:color w:val="000000"/>
          <w:sz w:val="21"/>
          <w:szCs w:val="21"/>
        </w:rPr>
        <w:t>指学校“双师型”（具备教师资格和行业能力资格）专任教师数占专任教师总数的百分比。</w:t>
      </w:r>
      <w:r>
        <w:rPr>
          <w:rFonts w:hint="eastAsia" w:ascii="宋体" w:hAnsi="宋体" w:cs="黑体"/>
          <w:color w:val="000000"/>
          <w:sz w:val="21"/>
          <w:szCs w:val="21"/>
        </w:rPr>
        <w:t>标准中双师型教师比不低于3</w:t>
      </w:r>
      <w:r>
        <w:rPr>
          <w:rFonts w:ascii="宋体" w:hAnsi="宋体" w:cs="黑体"/>
          <w:color w:val="000000"/>
          <w:sz w:val="21"/>
          <w:szCs w:val="21"/>
        </w:rPr>
        <w:t>0</w:t>
      </w:r>
      <w:r>
        <w:rPr>
          <w:rFonts w:hint="eastAsia" w:ascii="宋体" w:hAnsi="宋体" w:cs="黑体"/>
          <w:color w:val="000000"/>
          <w:sz w:val="21"/>
          <w:szCs w:val="21"/>
        </w:rPr>
        <w:t>%。</w:t>
      </w:r>
    </w:p>
  </w:footnote>
  <w:footnote w:id="8">
    <w:p>
      <w:pPr>
        <w:pStyle w:val="15"/>
        <w:shd w:val="clear" w:color="auto" w:fill="FFFFFF"/>
        <w:spacing w:before="0" w:beforeAutospacing="0" w:after="0" w:afterAutospacing="0"/>
        <w:rPr>
          <w:rFonts w:cs="黑体"/>
          <w:color w:val="000000"/>
          <w:kern w:val="2"/>
          <w:sz w:val="21"/>
          <w:szCs w:val="21"/>
        </w:rPr>
      </w:pPr>
      <w:r>
        <w:rPr>
          <w:rStyle w:val="22"/>
          <w:rFonts w:ascii="Times New Roman" w:hAnsi="Times New Roman"/>
        </w:rPr>
        <w:footnoteRef/>
      </w:r>
      <w:r>
        <w:rPr>
          <w:rFonts w:hint="eastAsia" w:cs="黑体"/>
          <w:b/>
          <w:color w:val="000000"/>
          <w:kern w:val="2"/>
          <w:sz w:val="21"/>
          <w:szCs w:val="21"/>
        </w:rPr>
        <w:t>生均教学仪器设备资产值：</w:t>
      </w:r>
      <w:r>
        <w:rPr>
          <w:rFonts w:hint="eastAsia" w:cs="黑体"/>
          <w:color w:val="000000"/>
          <w:kern w:val="2"/>
          <w:sz w:val="21"/>
          <w:szCs w:val="21"/>
        </w:rPr>
        <w:t>是指学校教学仪器设备总资产值与在校生总数之比。标准中工科类专业和医学类专业生均仪器设备价值不低于3</w:t>
      </w:r>
      <w:r>
        <w:rPr>
          <w:rFonts w:cs="黑体"/>
          <w:color w:val="000000"/>
          <w:kern w:val="2"/>
          <w:sz w:val="21"/>
          <w:szCs w:val="21"/>
        </w:rPr>
        <w:t>000</w:t>
      </w:r>
      <w:r>
        <w:rPr>
          <w:rFonts w:hint="eastAsia" w:cs="黑体"/>
          <w:color w:val="000000"/>
          <w:kern w:val="2"/>
          <w:sz w:val="21"/>
          <w:szCs w:val="21"/>
        </w:rPr>
        <w:t>元，其他专业生均仪器设备价值不低于2</w:t>
      </w:r>
      <w:r>
        <w:rPr>
          <w:rFonts w:cs="黑体"/>
          <w:color w:val="000000"/>
          <w:kern w:val="2"/>
          <w:sz w:val="21"/>
          <w:szCs w:val="21"/>
        </w:rPr>
        <w:t>500</w:t>
      </w:r>
      <w:r>
        <w:rPr>
          <w:rFonts w:hint="eastAsia" w:cs="黑体"/>
          <w:color w:val="000000"/>
          <w:kern w:val="2"/>
          <w:sz w:val="21"/>
          <w:szCs w:val="21"/>
        </w:rPr>
        <w:t>元。</w:t>
      </w:r>
    </w:p>
  </w:footnote>
  <w:footnote w:id="9">
    <w:p>
      <w:pPr>
        <w:pStyle w:val="15"/>
        <w:shd w:val="clear" w:color="auto" w:fill="FFFFFF"/>
        <w:spacing w:before="0" w:beforeAutospacing="0" w:after="0" w:afterAutospacing="0"/>
        <w:rPr>
          <w:rFonts w:cs="黑体"/>
          <w:color w:val="000000"/>
          <w:kern w:val="2"/>
          <w:sz w:val="21"/>
          <w:szCs w:val="21"/>
        </w:rPr>
      </w:pPr>
      <w:r>
        <w:rPr>
          <w:rStyle w:val="22"/>
          <w:rFonts w:ascii="Times New Roman" w:hAnsi="Times New Roman"/>
        </w:rPr>
        <w:footnoteRef/>
      </w:r>
      <w:r>
        <w:rPr>
          <w:rFonts w:hint="eastAsia" w:cs="黑体"/>
          <w:b/>
          <w:color w:val="000000"/>
          <w:kern w:val="2"/>
          <w:sz w:val="21"/>
          <w:szCs w:val="21"/>
        </w:rPr>
        <w:t>生均图书：</w:t>
      </w:r>
      <w:r>
        <w:rPr>
          <w:rFonts w:hint="eastAsia" w:cs="黑体"/>
          <w:color w:val="000000"/>
          <w:kern w:val="2"/>
          <w:sz w:val="21"/>
          <w:szCs w:val="21"/>
        </w:rPr>
        <w:t>中等职业学校图书总册数</w:t>
      </w:r>
      <w:r>
        <w:rPr>
          <w:rFonts w:cs="黑体"/>
          <w:color w:val="000000"/>
          <w:kern w:val="2"/>
          <w:sz w:val="21"/>
          <w:szCs w:val="21"/>
        </w:rPr>
        <w:t>/</w:t>
      </w:r>
      <w:r>
        <w:rPr>
          <w:rFonts w:hint="eastAsia" w:cs="黑体"/>
          <w:color w:val="000000"/>
          <w:kern w:val="2"/>
          <w:sz w:val="21"/>
          <w:szCs w:val="21"/>
        </w:rPr>
        <w:t>中等职业学校在校生总数，生均图书主要统计指纸质图书（册</w:t>
      </w:r>
      <w:r>
        <w:rPr>
          <w:rFonts w:cs="黑体"/>
          <w:color w:val="000000"/>
          <w:kern w:val="2"/>
          <w:sz w:val="21"/>
          <w:szCs w:val="21"/>
        </w:rPr>
        <w:t>/</w:t>
      </w:r>
      <w:r>
        <w:rPr>
          <w:rFonts w:hint="eastAsia" w:cs="黑体"/>
          <w:color w:val="000000"/>
          <w:kern w:val="2"/>
          <w:sz w:val="21"/>
          <w:szCs w:val="21"/>
        </w:rPr>
        <w:t>生）。标准中生均图书应不少于3</w:t>
      </w:r>
      <w:r>
        <w:rPr>
          <w:rFonts w:cs="黑体"/>
          <w:color w:val="000000"/>
          <w:kern w:val="2"/>
          <w:sz w:val="21"/>
          <w:szCs w:val="21"/>
        </w:rPr>
        <w:t>0</w:t>
      </w:r>
      <w:r>
        <w:rPr>
          <w:rFonts w:hint="eastAsia" w:cs="黑体"/>
          <w:color w:val="000000"/>
          <w:kern w:val="2"/>
          <w:sz w:val="21"/>
          <w:szCs w:val="21"/>
        </w:rPr>
        <w:t>册。</w:t>
      </w:r>
    </w:p>
  </w:footnote>
  <w:footnote w:id="10">
    <w:p>
      <w:pPr>
        <w:pStyle w:val="13"/>
        <w:rPr>
          <w:rFonts w:ascii="Times New Roman" w:hAnsi="Times New Roman"/>
        </w:rPr>
      </w:pPr>
      <w:r>
        <w:rPr>
          <w:rStyle w:val="22"/>
          <w:rFonts w:ascii="Times New Roman" w:hAnsi="Times New Roman"/>
        </w:rPr>
        <w:footnoteRef/>
      </w:r>
      <w:r>
        <w:rPr>
          <w:rFonts w:hint="eastAsia" w:ascii="Times New Roman" w:hAnsi="Times New Roman" w:cs="黑体"/>
          <w:b/>
          <w:color w:val="000000"/>
          <w:sz w:val="21"/>
          <w:szCs w:val="21"/>
        </w:rPr>
        <w:t>教学用计算机数量：</w:t>
      </w:r>
      <w:r>
        <w:rPr>
          <w:rFonts w:hint="eastAsia" w:ascii="Times New Roman" w:hAnsi="Times New Roman" w:cs="黑体"/>
          <w:color w:val="000000"/>
          <w:sz w:val="21"/>
          <w:szCs w:val="21"/>
        </w:rPr>
        <w:t>指除行政办公用途以外的教室、机房、阅览室、教务部门等直接用于教学的计算机(台)。标准中教学用计算机数量不少于每百生1</w:t>
      </w:r>
      <w:r>
        <w:rPr>
          <w:rFonts w:ascii="Times New Roman" w:hAnsi="Times New Roman" w:cs="黑体"/>
          <w:color w:val="000000"/>
          <w:sz w:val="21"/>
          <w:szCs w:val="21"/>
        </w:rPr>
        <w:t>5</w:t>
      </w:r>
      <w:r>
        <w:rPr>
          <w:rFonts w:hint="eastAsia" w:ascii="Times New Roman" w:hAnsi="Times New Roman" w:cs="黑体"/>
          <w:color w:val="000000"/>
          <w:sz w:val="21"/>
          <w:szCs w:val="21"/>
        </w:rPr>
        <w:t>台。</w:t>
      </w:r>
    </w:p>
  </w:footnote>
  <w:footnote w:id="11">
    <w:p>
      <w:pPr>
        <w:pStyle w:val="13"/>
        <w:spacing w:line="300" w:lineRule="exact"/>
        <w:rPr>
          <w:rFonts w:ascii="宋体" w:hAnsi="宋体"/>
        </w:rPr>
      </w:pPr>
      <w:r>
        <w:rPr>
          <w:rStyle w:val="22"/>
          <w:rFonts w:ascii="宋体" w:hAnsi="宋体"/>
        </w:rPr>
        <w:footnoteRef/>
      </w:r>
      <w:r>
        <w:rPr>
          <w:rFonts w:ascii="宋体" w:hAnsi="宋体"/>
        </w:rPr>
        <w:t xml:space="preserve"> </w:t>
      </w:r>
      <w:r>
        <w:rPr>
          <w:rFonts w:hint="eastAsia" w:ascii="宋体" w:hAnsi="宋体"/>
          <w:b/>
        </w:rPr>
        <w:t>专业技能合格率：</w:t>
      </w:r>
      <w:r>
        <w:rPr>
          <w:rFonts w:hint="eastAsia" w:ascii="宋体" w:hAnsi="宋体"/>
        </w:rPr>
        <w:t>指职业技能鉴定通过率（获证学生数/参考人数）或市、区县专业课或专业技能统一考核的合格率。</w:t>
      </w:r>
    </w:p>
  </w:footnote>
  <w:footnote w:id="12">
    <w:p>
      <w:pPr>
        <w:pStyle w:val="13"/>
        <w:spacing w:line="300" w:lineRule="exact"/>
        <w:rPr>
          <w:rFonts w:ascii="宋体" w:hAnsi="宋体"/>
        </w:rPr>
      </w:pPr>
      <w:r>
        <w:rPr>
          <w:rStyle w:val="22"/>
          <w:rFonts w:ascii="宋体" w:hAnsi="宋体"/>
        </w:rPr>
        <w:footnoteRef/>
      </w:r>
      <w:r>
        <w:rPr>
          <w:rFonts w:ascii="宋体" w:hAnsi="宋体"/>
        </w:rPr>
        <w:t xml:space="preserve"> </w:t>
      </w:r>
      <w:r>
        <w:rPr>
          <w:rFonts w:hint="eastAsia" w:ascii="宋体" w:hAnsi="宋体"/>
          <w:b/>
        </w:rPr>
        <w:t>双证书获取率</w:t>
      </w:r>
      <w:r>
        <w:rPr>
          <w:rFonts w:hint="eastAsia" w:ascii="宋体" w:hAnsi="宋体"/>
        </w:rPr>
        <w:t>：为同时取得毕业证书与职业资格证书毕业生数/毕业生总数。</w:t>
      </w:r>
    </w:p>
  </w:footnote>
  <w:footnote w:id="13">
    <w:p>
      <w:pPr>
        <w:pStyle w:val="13"/>
        <w:spacing w:line="300" w:lineRule="exact"/>
        <w:rPr>
          <w:rFonts w:ascii="宋体" w:hAnsi="宋体"/>
        </w:rPr>
      </w:pPr>
      <w:r>
        <w:rPr>
          <w:rStyle w:val="22"/>
          <w:rFonts w:ascii="宋体" w:hAnsi="宋体"/>
        </w:rPr>
        <w:footnoteRef/>
      </w:r>
      <w:r>
        <w:rPr>
          <w:rFonts w:ascii="宋体" w:hAnsi="宋体"/>
        </w:rPr>
        <w:t xml:space="preserve"> </w:t>
      </w:r>
      <w:r>
        <w:rPr>
          <w:rFonts w:hint="eastAsia" w:ascii="宋体" w:hAnsi="宋体"/>
          <w:b/>
        </w:rPr>
        <w:t>毕业率：</w:t>
      </w:r>
      <w:r>
        <w:rPr>
          <w:rFonts w:hint="eastAsia" w:ascii="宋体" w:hAnsi="宋体"/>
        </w:rPr>
        <w:t>为当年毕业生数/该届学生入学注册学生人数。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ind w:leftChars="-857" w:hanging="1800" w:hangingChars="1000"/>
    </w:pPr>
    <w:r>
      <w:drawing>
        <wp:inline distT="0" distB="0" distL="0" distR="0">
          <wp:extent cx="7543800" cy="358775"/>
          <wp:effectExtent l="19050" t="0" r="0" b="0"/>
          <wp:docPr id="7" name="图片 3" descr="页眉-02.png"/>
          <wp:cNvGraphicFramePr/>
          <a:graphic xmlns:a="http://schemas.openxmlformats.org/drawingml/2006/main">
            <a:graphicData uri="http://schemas.openxmlformats.org/drawingml/2006/picture">
              <pic:pic xmlns:pic="http://schemas.openxmlformats.org/drawingml/2006/picture">
                <pic:nvPicPr>
                  <pic:cNvPr id="7" name="图片 3" descr="页眉-02.png"/>
                  <pic:cNvPicPr/>
                </pic:nvPicPr>
                <pic:blipFill>
                  <a:blip r:embed="rId1"/>
                  <a:stretch>
                    <a:fillRect/>
                  </a:stretch>
                </pic:blipFill>
                <pic:spPr>
                  <a:xfrm>
                    <a:off x="0" y="0"/>
                    <a:ext cx="7543885" cy="35889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ind w:leftChars="-857" w:hanging="1800" w:hangingChars="1000"/>
    </w:pPr>
    <w:r>
      <w:drawing>
        <wp:inline distT="0" distB="0" distL="0" distR="0">
          <wp:extent cx="7543800" cy="358775"/>
          <wp:effectExtent l="19050" t="0" r="0" b="0"/>
          <wp:docPr id="14" name="图片 10" descr="页眉-03.png"/>
          <wp:cNvGraphicFramePr/>
          <a:graphic xmlns:a="http://schemas.openxmlformats.org/drawingml/2006/main">
            <a:graphicData uri="http://schemas.openxmlformats.org/drawingml/2006/picture">
              <pic:pic xmlns:pic="http://schemas.openxmlformats.org/drawingml/2006/picture">
                <pic:nvPicPr>
                  <pic:cNvPr id="14" name="图片 10" descr="页眉-03.png"/>
                  <pic:cNvPicPr/>
                </pic:nvPicPr>
                <pic:blipFill>
                  <a:blip r:embed="rId1"/>
                  <a:stretch>
                    <a:fillRect/>
                  </a:stretch>
                </pic:blipFill>
                <pic:spPr>
                  <a:xfrm>
                    <a:off x="0" y="0"/>
                    <a:ext cx="7544222" cy="358911"/>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ind w:leftChars="-857" w:hanging="1800" w:hangingChars="1000"/>
    </w:pPr>
    <w:r>
      <w:drawing>
        <wp:inline distT="0" distB="0" distL="0" distR="0">
          <wp:extent cx="7543800" cy="358775"/>
          <wp:effectExtent l="19050" t="0" r="0" b="0"/>
          <wp:docPr id="224" name="图片 3" descr="页眉-02.png"/>
          <wp:cNvGraphicFramePr/>
          <a:graphic xmlns:a="http://schemas.openxmlformats.org/drawingml/2006/main">
            <a:graphicData uri="http://schemas.openxmlformats.org/drawingml/2006/picture">
              <pic:pic xmlns:pic="http://schemas.openxmlformats.org/drawingml/2006/picture">
                <pic:nvPicPr>
                  <pic:cNvPr id="224" name="图片 3" descr="页眉-02.png"/>
                  <pic:cNvPicPr/>
                </pic:nvPicPr>
                <pic:blipFill>
                  <a:blip r:embed="rId1"/>
                  <a:stretch>
                    <a:fillRect/>
                  </a:stretch>
                </pic:blipFill>
                <pic:spPr>
                  <a:xfrm>
                    <a:off x="0" y="0"/>
                    <a:ext cx="7543885" cy="358895"/>
                  </a:xfrm>
                  <a:prstGeom prst="rect">
                    <a:avLst/>
                  </a:prstGeom>
                </pic:spPr>
              </pic:pic>
            </a:graphicData>
          </a:graphic>
        </wp:inline>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ind w:leftChars="-857" w:hanging="1800" w:hangingChars="1000"/>
    </w:pPr>
    <w:r>
      <w:drawing>
        <wp:inline distT="0" distB="0" distL="0" distR="0">
          <wp:extent cx="7543800" cy="358775"/>
          <wp:effectExtent l="19050" t="0" r="0" b="0"/>
          <wp:docPr id="225" name="图片 10" descr="页眉-03.png"/>
          <wp:cNvGraphicFramePr/>
          <a:graphic xmlns:a="http://schemas.openxmlformats.org/drawingml/2006/main">
            <a:graphicData uri="http://schemas.openxmlformats.org/drawingml/2006/picture">
              <pic:pic xmlns:pic="http://schemas.openxmlformats.org/drawingml/2006/picture">
                <pic:nvPicPr>
                  <pic:cNvPr id="225" name="图片 10" descr="页眉-03.png"/>
                  <pic:cNvPicPr/>
                </pic:nvPicPr>
                <pic:blipFill>
                  <a:blip r:embed="rId1"/>
                  <a:stretch>
                    <a:fillRect/>
                  </a:stretch>
                </pic:blipFill>
                <pic:spPr>
                  <a:xfrm>
                    <a:off x="0" y="0"/>
                    <a:ext cx="7544222" cy="358911"/>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685F85"/>
    <w:multiLevelType w:val="singleLevel"/>
    <w:tmpl w:val="B4685F85"/>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footnotePr>
    <w:footnote w:id="28"/>
    <w:footnote w:id="29"/>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314DF3"/>
    <w:rsid w:val="000020A0"/>
    <w:rsid w:val="00002B59"/>
    <w:rsid w:val="00005EB3"/>
    <w:rsid w:val="00015575"/>
    <w:rsid w:val="0002797E"/>
    <w:rsid w:val="00037E02"/>
    <w:rsid w:val="00040D89"/>
    <w:rsid w:val="000413C7"/>
    <w:rsid w:val="00043FEB"/>
    <w:rsid w:val="000525A9"/>
    <w:rsid w:val="00055A01"/>
    <w:rsid w:val="000646CC"/>
    <w:rsid w:val="000665CF"/>
    <w:rsid w:val="00067377"/>
    <w:rsid w:val="00072623"/>
    <w:rsid w:val="00073785"/>
    <w:rsid w:val="00077FEE"/>
    <w:rsid w:val="00087148"/>
    <w:rsid w:val="00095A4E"/>
    <w:rsid w:val="00096D9B"/>
    <w:rsid w:val="00097DA2"/>
    <w:rsid w:val="000A1E49"/>
    <w:rsid w:val="000B064F"/>
    <w:rsid w:val="000B23C4"/>
    <w:rsid w:val="000C33D6"/>
    <w:rsid w:val="000C56B4"/>
    <w:rsid w:val="000D05D5"/>
    <w:rsid w:val="000D2FCA"/>
    <w:rsid w:val="000E5138"/>
    <w:rsid w:val="000E644F"/>
    <w:rsid w:val="000F01DF"/>
    <w:rsid w:val="000F33E0"/>
    <w:rsid w:val="00100376"/>
    <w:rsid w:val="001024E5"/>
    <w:rsid w:val="00103920"/>
    <w:rsid w:val="00104237"/>
    <w:rsid w:val="00105DAD"/>
    <w:rsid w:val="0011276B"/>
    <w:rsid w:val="001400CC"/>
    <w:rsid w:val="00152482"/>
    <w:rsid w:val="00157E71"/>
    <w:rsid w:val="00160334"/>
    <w:rsid w:val="00165087"/>
    <w:rsid w:val="00167A25"/>
    <w:rsid w:val="00171BF9"/>
    <w:rsid w:val="001726DE"/>
    <w:rsid w:val="00172AAA"/>
    <w:rsid w:val="001768C2"/>
    <w:rsid w:val="001830FC"/>
    <w:rsid w:val="00184DF9"/>
    <w:rsid w:val="00194E20"/>
    <w:rsid w:val="001A175E"/>
    <w:rsid w:val="001A18C3"/>
    <w:rsid w:val="001A3497"/>
    <w:rsid w:val="001A6946"/>
    <w:rsid w:val="001A7581"/>
    <w:rsid w:val="001C2DD0"/>
    <w:rsid w:val="001C747C"/>
    <w:rsid w:val="001D163F"/>
    <w:rsid w:val="001D6AE0"/>
    <w:rsid w:val="001E3253"/>
    <w:rsid w:val="001E4F13"/>
    <w:rsid w:val="002067F3"/>
    <w:rsid w:val="0021029A"/>
    <w:rsid w:val="002108DB"/>
    <w:rsid w:val="00221E31"/>
    <w:rsid w:val="00224AA2"/>
    <w:rsid w:val="002309E6"/>
    <w:rsid w:val="002420EF"/>
    <w:rsid w:val="002428AF"/>
    <w:rsid w:val="00246EBE"/>
    <w:rsid w:val="002471BA"/>
    <w:rsid w:val="00250FEC"/>
    <w:rsid w:val="00257154"/>
    <w:rsid w:val="00270D78"/>
    <w:rsid w:val="00276030"/>
    <w:rsid w:val="00290742"/>
    <w:rsid w:val="00293641"/>
    <w:rsid w:val="00297D39"/>
    <w:rsid w:val="002A0812"/>
    <w:rsid w:val="002C3DE8"/>
    <w:rsid w:val="002D4035"/>
    <w:rsid w:val="002D7072"/>
    <w:rsid w:val="002E0E2C"/>
    <w:rsid w:val="002E2D7E"/>
    <w:rsid w:val="002E73C5"/>
    <w:rsid w:val="002F6B28"/>
    <w:rsid w:val="0030382E"/>
    <w:rsid w:val="003164C1"/>
    <w:rsid w:val="003201AA"/>
    <w:rsid w:val="003309C6"/>
    <w:rsid w:val="003425DB"/>
    <w:rsid w:val="00352E61"/>
    <w:rsid w:val="0035736B"/>
    <w:rsid w:val="003635C4"/>
    <w:rsid w:val="00367C0D"/>
    <w:rsid w:val="0037298B"/>
    <w:rsid w:val="0038342B"/>
    <w:rsid w:val="00383678"/>
    <w:rsid w:val="00391886"/>
    <w:rsid w:val="0039609E"/>
    <w:rsid w:val="003A7A8D"/>
    <w:rsid w:val="003A7E69"/>
    <w:rsid w:val="003B2839"/>
    <w:rsid w:val="003C3595"/>
    <w:rsid w:val="003C584D"/>
    <w:rsid w:val="003D1432"/>
    <w:rsid w:val="003E02EC"/>
    <w:rsid w:val="003E16BF"/>
    <w:rsid w:val="003E39D8"/>
    <w:rsid w:val="003F6E79"/>
    <w:rsid w:val="00404757"/>
    <w:rsid w:val="00410904"/>
    <w:rsid w:val="00412B8A"/>
    <w:rsid w:val="00414A71"/>
    <w:rsid w:val="00421495"/>
    <w:rsid w:val="004219CA"/>
    <w:rsid w:val="0042334D"/>
    <w:rsid w:val="0043337F"/>
    <w:rsid w:val="004369A2"/>
    <w:rsid w:val="00436EE5"/>
    <w:rsid w:val="0044349D"/>
    <w:rsid w:val="00446402"/>
    <w:rsid w:val="0045369A"/>
    <w:rsid w:val="00457F67"/>
    <w:rsid w:val="004649AE"/>
    <w:rsid w:val="00464B67"/>
    <w:rsid w:val="00471774"/>
    <w:rsid w:val="004752DB"/>
    <w:rsid w:val="00477A1F"/>
    <w:rsid w:val="0048426B"/>
    <w:rsid w:val="00484ED1"/>
    <w:rsid w:val="00492F68"/>
    <w:rsid w:val="00495886"/>
    <w:rsid w:val="00496502"/>
    <w:rsid w:val="004A2ABE"/>
    <w:rsid w:val="004A34EA"/>
    <w:rsid w:val="004A465C"/>
    <w:rsid w:val="004A5467"/>
    <w:rsid w:val="004A5A7B"/>
    <w:rsid w:val="004B0F81"/>
    <w:rsid w:val="004B1855"/>
    <w:rsid w:val="004B1C4E"/>
    <w:rsid w:val="004B26E4"/>
    <w:rsid w:val="004B5478"/>
    <w:rsid w:val="004B732E"/>
    <w:rsid w:val="004C0ED4"/>
    <w:rsid w:val="004C10EA"/>
    <w:rsid w:val="004C1D47"/>
    <w:rsid w:val="004C548D"/>
    <w:rsid w:val="004D134D"/>
    <w:rsid w:val="004D1761"/>
    <w:rsid w:val="004E0173"/>
    <w:rsid w:val="004E55DD"/>
    <w:rsid w:val="004F041F"/>
    <w:rsid w:val="004F24D9"/>
    <w:rsid w:val="004F30E2"/>
    <w:rsid w:val="004F4951"/>
    <w:rsid w:val="004F6142"/>
    <w:rsid w:val="00500AE7"/>
    <w:rsid w:val="00501B5F"/>
    <w:rsid w:val="0050201F"/>
    <w:rsid w:val="0050546F"/>
    <w:rsid w:val="0050581E"/>
    <w:rsid w:val="00513F22"/>
    <w:rsid w:val="00523B94"/>
    <w:rsid w:val="00532CE7"/>
    <w:rsid w:val="00533144"/>
    <w:rsid w:val="00540872"/>
    <w:rsid w:val="005429EE"/>
    <w:rsid w:val="00550D3B"/>
    <w:rsid w:val="00551A2C"/>
    <w:rsid w:val="00551AB1"/>
    <w:rsid w:val="00555FB5"/>
    <w:rsid w:val="00561299"/>
    <w:rsid w:val="00563715"/>
    <w:rsid w:val="00565C94"/>
    <w:rsid w:val="005711FB"/>
    <w:rsid w:val="00575124"/>
    <w:rsid w:val="00577809"/>
    <w:rsid w:val="00581FF8"/>
    <w:rsid w:val="00587B51"/>
    <w:rsid w:val="0059390D"/>
    <w:rsid w:val="00594E09"/>
    <w:rsid w:val="005A08EB"/>
    <w:rsid w:val="005A2897"/>
    <w:rsid w:val="005A494A"/>
    <w:rsid w:val="005A51C0"/>
    <w:rsid w:val="005A7DCA"/>
    <w:rsid w:val="005B184A"/>
    <w:rsid w:val="005B7333"/>
    <w:rsid w:val="005B78E9"/>
    <w:rsid w:val="005C37DC"/>
    <w:rsid w:val="005E102D"/>
    <w:rsid w:val="005E1605"/>
    <w:rsid w:val="005E4CC2"/>
    <w:rsid w:val="005E5BA9"/>
    <w:rsid w:val="005F3307"/>
    <w:rsid w:val="005F338B"/>
    <w:rsid w:val="005F4C28"/>
    <w:rsid w:val="005F7392"/>
    <w:rsid w:val="005F75B0"/>
    <w:rsid w:val="0060423D"/>
    <w:rsid w:val="0061267F"/>
    <w:rsid w:val="00612C45"/>
    <w:rsid w:val="006142F6"/>
    <w:rsid w:val="00616D36"/>
    <w:rsid w:val="006351DB"/>
    <w:rsid w:val="00636686"/>
    <w:rsid w:val="00636CC3"/>
    <w:rsid w:val="00637975"/>
    <w:rsid w:val="006411EF"/>
    <w:rsid w:val="0064220F"/>
    <w:rsid w:val="00653023"/>
    <w:rsid w:val="00671366"/>
    <w:rsid w:val="00672087"/>
    <w:rsid w:val="006740F1"/>
    <w:rsid w:val="0067438F"/>
    <w:rsid w:val="00674B19"/>
    <w:rsid w:val="00683FB8"/>
    <w:rsid w:val="006851FB"/>
    <w:rsid w:val="00685779"/>
    <w:rsid w:val="00686D65"/>
    <w:rsid w:val="006911AB"/>
    <w:rsid w:val="006A2455"/>
    <w:rsid w:val="006A3093"/>
    <w:rsid w:val="006A5D3C"/>
    <w:rsid w:val="006A6418"/>
    <w:rsid w:val="006B09F9"/>
    <w:rsid w:val="006C40B7"/>
    <w:rsid w:val="006C68AD"/>
    <w:rsid w:val="006C72FC"/>
    <w:rsid w:val="006C7C3D"/>
    <w:rsid w:val="006E3561"/>
    <w:rsid w:val="00703F64"/>
    <w:rsid w:val="007057AD"/>
    <w:rsid w:val="00707BB0"/>
    <w:rsid w:val="00712AC2"/>
    <w:rsid w:val="0072154D"/>
    <w:rsid w:val="00727E45"/>
    <w:rsid w:val="0073055F"/>
    <w:rsid w:val="007316E1"/>
    <w:rsid w:val="00732701"/>
    <w:rsid w:val="00743B68"/>
    <w:rsid w:val="00743E0A"/>
    <w:rsid w:val="007467EA"/>
    <w:rsid w:val="007575B7"/>
    <w:rsid w:val="0075769D"/>
    <w:rsid w:val="00762969"/>
    <w:rsid w:val="007658F6"/>
    <w:rsid w:val="007665A8"/>
    <w:rsid w:val="00770CE5"/>
    <w:rsid w:val="0077357E"/>
    <w:rsid w:val="007804BE"/>
    <w:rsid w:val="007838E3"/>
    <w:rsid w:val="00784B7C"/>
    <w:rsid w:val="00785D49"/>
    <w:rsid w:val="00787BD4"/>
    <w:rsid w:val="00791904"/>
    <w:rsid w:val="007929C4"/>
    <w:rsid w:val="00795882"/>
    <w:rsid w:val="00797266"/>
    <w:rsid w:val="007A10F6"/>
    <w:rsid w:val="007A1F1A"/>
    <w:rsid w:val="007A5A52"/>
    <w:rsid w:val="007B13BE"/>
    <w:rsid w:val="007B7C78"/>
    <w:rsid w:val="007C2074"/>
    <w:rsid w:val="007C25E2"/>
    <w:rsid w:val="007D70CC"/>
    <w:rsid w:val="007E03CD"/>
    <w:rsid w:val="007E2159"/>
    <w:rsid w:val="007E4AA7"/>
    <w:rsid w:val="007F188A"/>
    <w:rsid w:val="007F2CB5"/>
    <w:rsid w:val="00800007"/>
    <w:rsid w:val="008034B4"/>
    <w:rsid w:val="00805659"/>
    <w:rsid w:val="00806ED2"/>
    <w:rsid w:val="008073BF"/>
    <w:rsid w:val="008175E0"/>
    <w:rsid w:val="008205EE"/>
    <w:rsid w:val="00827894"/>
    <w:rsid w:val="00831252"/>
    <w:rsid w:val="008372AC"/>
    <w:rsid w:val="00843D6F"/>
    <w:rsid w:val="008470DC"/>
    <w:rsid w:val="00850459"/>
    <w:rsid w:val="00852823"/>
    <w:rsid w:val="00857D6D"/>
    <w:rsid w:val="00861C82"/>
    <w:rsid w:val="00863A88"/>
    <w:rsid w:val="00864528"/>
    <w:rsid w:val="00870D60"/>
    <w:rsid w:val="00877CA4"/>
    <w:rsid w:val="00880885"/>
    <w:rsid w:val="008835F5"/>
    <w:rsid w:val="00894162"/>
    <w:rsid w:val="00894777"/>
    <w:rsid w:val="008A150B"/>
    <w:rsid w:val="008A6502"/>
    <w:rsid w:val="008C1A09"/>
    <w:rsid w:val="008C71FA"/>
    <w:rsid w:val="008C7C28"/>
    <w:rsid w:val="008D1619"/>
    <w:rsid w:val="008D30C5"/>
    <w:rsid w:val="008D39A8"/>
    <w:rsid w:val="008D63F4"/>
    <w:rsid w:val="008F0D9A"/>
    <w:rsid w:val="008F253F"/>
    <w:rsid w:val="008F76AF"/>
    <w:rsid w:val="00901C69"/>
    <w:rsid w:val="00910592"/>
    <w:rsid w:val="00910F71"/>
    <w:rsid w:val="00913A9D"/>
    <w:rsid w:val="009177D9"/>
    <w:rsid w:val="00934DF2"/>
    <w:rsid w:val="009408DF"/>
    <w:rsid w:val="0094216A"/>
    <w:rsid w:val="0094243E"/>
    <w:rsid w:val="00946495"/>
    <w:rsid w:val="009540FF"/>
    <w:rsid w:val="009618CA"/>
    <w:rsid w:val="00970AA2"/>
    <w:rsid w:val="009732AA"/>
    <w:rsid w:val="00984814"/>
    <w:rsid w:val="0099105D"/>
    <w:rsid w:val="00993650"/>
    <w:rsid w:val="00994299"/>
    <w:rsid w:val="0099546F"/>
    <w:rsid w:val="00996741"/>
    <w:rsid w:val="00997DC2"/>
    <w:rsid w:val="009A18F3"/>
    <w:rsid w:val="009A47F4"/>
    <w:rsid w:val="009B036C"/>
    <w:rsid w:val="009B5FB5"/>
    <w:rsid w:val="009C4B31"/>
    <w:rsid w:val="009C748C"/>
    <w:rsid w:val="009D48BD"/>
    <w:rsid w:val="009D5AD4"/>
    <w:rsid w:val="009D6A31"/>
    <w:rsid w:val="009E23A7"/>
    <w:rsid w:val="009E4C3E"/>
    <w:rsid w:val="009F09EE"/>
    <w:rsid w:val="009F673B"/>
    <w:rsid w:val="00A1155E"/>
    <w:rsid w:val="00A118F9"/>
    <w:rsid w:val="00A21B8E"/>
    <w:rsid w:val="00A25193"/>
    <w:rsid w:val="00A25817"/>
    <w:rsid w:val="00A3336E"/>
    <w:rsid w:val="00A3435D"/>
    <w:rsid w:val="00A43F2F"/>
    <w:rsid w:val="00A66D2E"/>
    <w:rsid w:val="00A71E27"/>
    <w:rsid w:val="00A74EEF"/>
    <w:rsid w:val="00A7679F"/>
    <w:rsid w:val="00A836B2"/>
    <w:rsid w:val="00A86F28"/>
    <w:rsid w:val="00A96217"/>
    <w:rsid w:val="00A97931"/>
    <w:rsid w:val="00A97D58"/>
    <w:rsid w:val="00AA12F9"/>
    <w:rsid w:val="00AA24AE"/>
    <w:rsid w:val="00AA310A"/>
    <w:rsid w:val="00AA4026"/>
    <w:rsid w:val="00AA588B"/>
    <w:rsid w:val="00AB4869"/>
    <w:rsid w:val="00AB568F"/>
    <w:rsid w:val="00AB6D40"/>
    <w:rsid w:val="00AD36B5"/>
    <w:rsid w:val="00AD4CE0"/>
    <w:rsid w:val="00AD5F32"/>
    <w:rsid w:val="00AE2A16"/>
    <w:rsid w:val="00AE3D0A"/>
    <w:rsid w:val="00AE6E9E"/>
    <w:rsid w:val="00AE7036"/>
    <w:rsid w:val="00B07858"/>
    <w:rsid w:val="00B13D10"/>
    <w:rsid w:val="00B16042"/>
    <w:rsid w:val="00B3688F"/>
    <w:rsid w:val="00B40B5D"/>
    <w:rsid w:val="00B6501A"/>
    <w:rsid w:val="00B6555E"/>
    <w:rsid w:val="00B659DC"/>
    <w:rsid w:val="00B669F0"/>
    <w:rsid w:val="00B675FB"/>
    <w:rsid w:val="00B728F6"/>
    <w:rsid w:val="00B7644C"/>
    <w:rsid w:val="00B77736"/>
    <w:rsid w:val="00B77FEC"/>
    <w:rsid w:val="00B81B6A"/>
    <w:rsid w:val="00B822F4"/>
    <w:rsid w:val="00B900D0"/>
    <w:rsid w:val="00B92AA4"/>
    <w:rsid w:val="00B96611"/>
    <w:rsid w:val="00B97F03"/>
    <w:rsid w:val="00BA2337"/>
    <w:rsid w:val="00BA5AB4"/>
    <w:rsid w:val="00BA5EBB"/>
    <w:rsid w:val="00BB0F1D"/>
    <w:rsid w:val="00BB76E9"/>
    <w:rsid w:val="00BB76EF"/>
    <w:rsid w:val="00BC02E9"/>
    <w:rsid w:val="00BC21C5"/>
    <w:rsid w:val="00BC45AB"/>
    <w:rsid w:val="00BD2712"/>
    <w:rsid w:val="00BD28B6"/>
    <w:rsid w:val="00BD7C6D"/>
    <w:rsid w:val="00BE6081"/>
    <w:rsid w:val="00BF163E"/>
    <w:rsid w:val="00BF5055"/>
    <w:rsid w:val="00BF7F9A"/>
    <w:rsid w:val="00C07B0D"/>
    <w:rsid w:val="00C23529"/>
    <w:rsid w:val="00C36902"/>
    <w:rsid w:val="00C36E9E"/>
    <w:rsid w:val="00C44B35"/>
    <w:rsid w:val="00C46EEB"/>
    <w:rsid w:val="00C50E63"/>
    <w:rsid w:val="00C552D3"/>
    <w:rsid w:val="00C57991"/>
    <w:rsid w:val="00C60851"/>
    <w:rsid w:val="00C64312"/>
    <w:rsid w:val="00C66D53"/>
    <w:rsid w:val="00C93433"/>
    <w:rsid w:val="00C95F97"/>
    <w:rsid w:val="00CA3E22"/>
    <w:rsid w:val="00CB2090"/>
    <w:rsid w:val="00CB2A67"/>
    <w:rsid w:val="00CB571E"/>
    <w:rsid w:val="00CC45DD"/>
    <w:rsid w:val="00CD380E"/>
    <w:rsid w:val="00CD75A0"/>
    <w:rsid w:val="00CD7A44"/>
    <w:rsid w:val="00CE0B55"/>
    <w:rsid w:val="00CE46B3"/>
    <w:rsid w:val="00CE4C05"/>
    <w:rsid w:val="00CE6ED7"/>
    <w:rsid w:val="00CF7774"/>
    <w:rsid w:val="00D026D5"/>
    <w:rsid w:val="00D03405"/>
    <w:rsid w:val="00D04355"/>
    <w:rsid w:val="00D05E36"/>
    <w:rsid w:val="00D13287"/>
    <w:rsid w:val="00D1357C"/>
    <w:rsid w:val="00D14F18"/>
    <w:rsid w:val="00D15436"/>
    <w:rsid w:val="00D16591"/>
    <w:rsid w:val="00D1781B"/>
    <w:rsid w:val="00D17926"/>
    <w:rsid w:val="00D20B09"/>
    <w:rsid w:val="00D229B6"/>
    <w:rsid w:val="00D24EE6"/>
    <w:rsid w:val="00D327B2"/>
    <w:rsid w:val="00D35003"/>
    <w:rsid w:val="00D37E17"/>
    <w:rsid w:val="00D41AB2"/>
    <w:rsid w:val="00D42B28"/>
    <w:rsid w:val="00D43EAC"/>
    <w:rsid w:val="00D44873"/>
    <w:rsid w:val="00D6254B"/>
    <w:rsid w:val="00D70FB0"/>
    <w:rsid w:val="00D769E2"/>
    <w:rsid w:val="00D84B14"/>
    <w:rsid w:val="00D916C8"/>
    <w:rsid w:val="00D93161"/>
    <w:rsid w:val="00DA10FC"/>
    <w:rsid w:val="00DA249F"/>
    <w:rsid w:val="00DA31A8"/>
    <w:rsid w:val="00DA7273"/>
    <w:rsid w:val="00DB00A9"/>
    <w:rsid w:val="00DB203B"/>
    <w:rsid w:val="00DB20FB"/>
    <w:rsid w:val="00DB2D90"/>
    <w:rsid w:val="00DB7D4E"/>
    <w:rsid w:val="00DC2553"/>
    <w:rsid w:val="00DC5CCC"/>
    <w:rsid w:val="00DC6901"/>
    <w:rsid w:val="00DC7012"/>
    <w:rsid w:val="00DD5AF1"/>
    <w:rsid w:val="00DD6235"/>
    <w:rsid w:val="00DE0621"/>
    <w:rsid w:val="00DE5313"/>
    <w:rsid w:val="00DE5A5D"/>
    <w:rsid w:val="00DE6632"/>
    <w:rsid w:val="00DF3121"/>
    <w:rsid w:val="00DF36FE"/>
    <w:rsid w:val="00DF4B46"/>
    <w:rsid w:val="00E054F4"/>
    <w:rsid w:val="00E06AF0"/>
    <w:rsid w:val="00E236DC"/>
    <w:rsid w:val="00E239E8"/>
    <w:rsid w:val="00E26178"/>
    <w:rsid w:val="00E31851"/>
    <w:rsid w:val="00E33657"/>
    <w:rsid w:val="00E371FB"/>
    <w:rsid w:val="00E409E3"/>
    <w:rsid w:val="00E42DDD"/>
    <w:rsid w:val="00E56F24"/>
    <w:rsid w:val="00E624C6"/>
    <w:rsid w:val="00E63EA8"/>
    <w:rsid w:val="00E64554"/>
    <w:rsid w:val="00E64BEB"/>
    <w:rsid w:val="00E6574A"/>
    <w:rsid w:val="00E70B07"/>
    <w:rsid w:val="00E71412"/>
    <w:rsid w:val="00E82799"/>
    <w:rsid w:val="00E832E2"/>
    <w:rsid w:val="00E87E49"/>
    <w:rsid w:val="00E909E0"/>
    <w:rsid w:val="00E93F74"/>
    <w:rsid w:val="00EA1A73"/>
    <w:rsid w:val="00EB3233"/>
    <w:rsid w:val="00EB4F23"/>
    <w:rsid w:val="00EB7E4E"/>
    <w:rsid w:val="00EC3954"/>
    <w:rsid w:val="00EC4F69"/>
    <w:rsid w:val="00EC5985"/>
    <w:rsid w:val="00EC5FC6"/>
    <w:rsid w:val="00EC797C"/>
    <w:rsid w:val="00EE0D10"/>
    <w:rsid w:val="00EE0DDE"/>
    <w:rsid w:val="00EE185D"/>
    <w:rsid w:val="00EE3821"/>
    <w:rsid w:val="00EE4EFF"/>
    <w:rsid w:val="00EE6765"/>
    <w:rsid w:val="00EF32C2"/>
    <w:rsid w:val="00F01A58"/>
    <w:rsid w:val="00F07B8E"/>
    <w:rsid w:val="00F12145"/>
    <w:rsid w:val="00F13177"/>
    <w:rsid w:val="00F13ABB"/>
    <w:rsid w:val="00F30638"/>
    <w:rsid w:val="00F44460"/>
    <w:rsid w:val="00F46958"/>
    <w:rsid w:val="00F513FB"/>
    <w:rsid w:val="00F52C24"/>
    <w:rsid w:val="00F55EF8"/>
    <w:rsid w:val="00F847DB"/>
    <w:rsid w:val="00F84C43"/>
    <w:rsid w:val="00F85B13"/>
    <w:rsid w:val="00F915F7"/>
    <w:rsid w:val="00F93A6B"/>
    <w:rsid w:val="00FA6C68"/>
    <w:rsid w:val="00FB2A38"/>
    <w:rsid w:val="00FB2BE8"/>
    <w:rsid w:val="00FB6171"/>
    <w:rsid w:val="00FC0551"/>
    <w:rsid w:val="00FC2D8A"/>
    <w:rsid w:val="00FD5FDC"/>
    <w:rsid w:val="00FD69D3"/>
    <w:rsid w:val="00FD7509"/>
    <w:rsid w:val="00FE32F5"/>
    <w:rsid w:val="00FE51CB"/>
    <w:rsid w:val="00FF1E7C"/>
    <w:rsid w:val="01313EDE"/>
    <w:rsid w:val="01420B3A"/>
    <w:rsid w:val="016A6B69"/>
    <w:rsid w:val="01763F2B"/>
    <w:rsid w:val="020B4568"/>
    <w:rsid w:val="02875842"/>
    <w:rsid w:val="02B47761"/>
    <w:rsid w:val="02F21DEE"/>
    <w:rsid w:val="03843D16"/>
    <w:rsid w:val="03BF2AD8"/>
    <w:rsid w:val="03C85814"/>
    <w:rsid w:val="03C93B56"/>
    <w:rsid w:val="03D3713A"/>
    <w:rsid w:val="04124EDD"/>
    <w:rsid w:val="045B00B9"/>
    <w:rsid w:val="047C1353"/>
    <w:rsid w:val="053B1E60"/>
    <w:rsid w:val="054A22F8"/>
    <w:rsid w:val="05F25528"/>
    <w:rsid w:val="06B25EAA"/>
    <w:rsid w:val="07050A99"/>
    <w:rsid w:val="07097C02"/>
    <w:rsid w:val="072C1037"/>
    <w:rsid w:val="07626A18"/>
    <w:rsid w:val="07754928"/>
    <w:rsid w:val="07B125AB"/>
    <w:rsid w:val="07DF0B02"/>
    <w:rsid w:val="07FD2DF3"/>
    <w:rsid w:val="089D10B1"/>
    <w:rsid w:val="08C10F26"/>
    <w:rsid w:val="09D24988"/>
    <w:rsid w:val="0A194960"/>
    <w:rsid w:val="0A7D6448"/>
    <w:rsid w:val="0AAB742D"/>
    <w:rsid w:val="0AF70FFB"/>
    <w:rsid w:val="0B13274E"/>
    <w:rsid w:val="0B4F18A0"/>
    <w:rsid w:val="0B584DBD"/>
    <w:rsid w:val="0B670A20"/>
    <w:rsid w:val="0B881C68"/>
    <w:rsid w:val="0C2E7D30"/>
    <w:rsid w:val="0C796899"/>
    <w:rsid w:val="0C896023"/>
    <w:rsid w:val="0CA06DCE"/>
    <w:rsid w:val="0CDB061F"/>
    <w:rsid w:val="0CF942AE"/>
    <w:rsid w:val="0D881E97"/>
    <w:rsid w:val="0E170DFA"/>
    <w:rsid w:val="0E1B3637"/>
    <w:rsid w:val="0E3413F9"/>
    <w:rsid w:val="0E453DB0"/>
    <w:rsid w:val="0EF40828"/>
    <w:rsid w:val="0F6918BA"/>
    <w:rsid w:val="0F721A41"/>
    <w:rsid w:val="0F742BAF"/>
    <w:rsid w:val="0FF94C1F"/>
    <w:rsid w:val="101D1F5B"/>
    <w:rsid w:val="102E6816"/>
    <w:rsid w:val="104F79D7"/>
    <w:rsid w:val="10A630E0"/>
    <w:rsid w:val="10E70FA8"/>
    <w:rsid w:val="1132602F"/>
    <w:rsid w:val="117B2A5C"/>
    <w:rsid w:val="12132637"/>
    <w:rsid w:val="1236591F"/>
    <w:rsid w:val="127241E6"/>
    <w:rsid w:val="129C27C4"/>
    <w:rsid w:val="132F68F1"/>
    <w:rsid w:val="133B46EE"/>
    <w:rsid w:val="135F623E"/>
    <w:rsid w:val="143A1E48"/>
    <w:rsid w:val="144F5D4E"/>
    <w:rsid w:val="14643C40"/>
    <w:rsid w:val="14CE3EF5"/>
    <w:rsid w:val="14DF2CD5"/>
    <w:rsid w:val="155E40C7"/>
    <w:rsid w:val="156150A7"/>
    <w:rsid w:val="15EA4ADE"/>
    <w:rsid w:val="16390492"/>
    <w:rsid w:val="165A0C37"/>
    <w:rsid w:val="17151AAD"/>
    <w:rsid w:val="175C362D"/>
    <w:rsid w:val="17D031D4"/>
    <w:rsid w:val="18185C28"/>
    <w:rsid w:val="1849355C"/>
    <w:rsid w:val="187B4281"/>
    <w:rsid w:val="18C00D4B"/>
    <w:rsid w:val="19635A31"/>
    <w:rsid w:val="19682443"/>
    <w:rsid w:val="19691592"/>
    <w:rsid w:val="197A2899"/>
    <w:rsid w:val="19815859"/>
    <w:rsid w:val="19C43041"/>
    <w:rsid w:val="19D53DAE"/>
    <w:rsid w:val="19EB7C74"/>
    <w:rsid w:val="1A042C88"/>
    <w:rsid w:val="1A564BF9"/>
    <w:rsid w:val="1A800C8D"/>
    <w:rsid w:val="1B5005A1"/>
    <w:rsid w:val="1B5F214B"/>
    <w:rsid w:val="1B9502E5"/>
    <w:rsid w:val="1C0977EA"/>
    <w:rsid w:val="1C4D49B0"/>
    <w:rsid w:val="1C69151A"/>
    <w:rsid w:val="1CE73496"/>
    <w:rsid w:val="1CF055AB"/>
    <w:rsid w:val="1D562854"/>
    <w:rsid w:val="1D6F10A7"/>
    <w:rsid w:val="1DD97567"/>
    <w:rsid w:val="1E5829D4"/>
    <w:rsid w:val="1F131402"/>
    <w:rsid w:val="1F8020C6"/>
    <w:rsid w:val="1F9A7BAA"/>
    <w:rsid w:val="1FC87893"/>
    <w:rsid w:val="2050741F"/>
    <w:rsid w:val="20875DC0"/>
    <w:rsid w:val="20AE2FD8"/>
    <w:rsid w:val="20C2452F"/>
    <w:rsid w:val="21265B23"/>
    <w:rsid w:val="213D39CC"/>
    <w:rsid w:val="21BC0668"/>
    <w:rsid w:val="21E60113"/>
    <w:rsid w:val="222F1434"/>
    <w:rsid w:val="22441E21"/>
    <w:rsid w:val="22540F7A"/>
    <w:rsid w:val="22DE5DB4"/>
    <w:rsid w:val="23360066"/>
    <w:rsid w:val="23387985"/>
    <w:rsid w:val="2356009C"/>
    <w:rsid w:val="23F74F74"/>
    <w:rsid w:val="24021155"/>
    <w:rsid w:val="246C7776"/>
    <w:rsid w:val="2484561A"/>
    <w:rsid w:val="24DB36B1"/>
    <w:rsid w:val="24E17CCD"/>
    <w:rsid w:val="24EE4766"/>
    <w:rsid w:val="251F22FF"/>
    <w:rsid w:val="25B53A97"/>
    <w:rsid w:val="26151DD4"/>
    <w:rsid w:val="26337E5C"/>
    <w:rsid w:val="26590F78"/>
    <w:rsid w:val="265D1B8E"/>
    <w:rsid w:val="26AA5CC4"/>
    <w:rsid w:val="26ED1B36"/>
    <w:rsid w:val="275F37BA"/>
    <w:rsid w:val="278041CD"/>
    <w:rsid w:val="27914D42"/>
    <w:rsid w:val="27AA7993"/>
    <w:rsid w:val="27DE2E9E"/>
    <w:rsid w:val="27FE0C1D"/>
    <w:rsid w:val="2826686C"/>
    <w:rsid w:val="286D7DD4"/>
    <w:rsid w:val="28940902"/>
    <w:rsid w:val="291B682E"/>
    <w:rsid w:val="296B774E"/>
    <w:rsid w:val="29A924E3"/>
    <w:rsid w:val="29E7300B"/>
    <w:rsid w:val="2A420536"/>
    <w:rsid w:val="2A8E476A"/>
    <w:rsid w:val="2AA8010A"/>
    <w:rsid w:val="2AF677AF"/>
    <w:rsid w:val="2B191B98"/>
    <w:rsid w:val="2B5D5309"/>
    <w:rsid w:val="2BA671A6"/>
    <w:rsid w:val="2BCA7B9D"/>
    <w:rsid w:val="2C0425BD"/>
    <w:rsid w:val="2C191A78"/>
    <w:rsid w:val="2C36744C"/>
    <w:rsid w:val="2C486362"/>
    <w:rsid w:val="2C55780F"/>
    <w:rsid w:val="2CEF7D8F"/>
    <w:rsid w:val="2D6D1A79"/>
    <w:rsid w:val="2D7B4196"/>
    <w:rsid w:val="2D8D4595"/>
    <w:rsid w:val="2DB62399"/>
    <w:rsid w:val="2E3A5A7C"/>
    <w:rsid w:val="2E3F0CE7"/>
    <w:rsid w:val="2E6B06C5"/>
    <w:rsid w:val="2E9017BB"/>
    <w:rsid w:val="2EAA3202"/>
    <w:rsid w:val="2EB06C36"/>
    <w:rsid w:val="2EC45078"/>
    <w:rsid w:val="2ECF4DAB"/>
    <w:rsid w:val="2EE57791"/>
    <w:rsid w:val="2F324D29"/>
    <w:rsid w:val="2F7A028E"/>
    <w:rsid w:val="2F9E1529"/>
    <w:rsid w:val="2FAF03B3"/>
    <w:rsid w:val="2FB32440"/>
    <w:rsid w:val="2FEB402B"/>
    <w:rsid w:val="2FFC6571"/>
    <w:rsid w:val="305D1077"/>
    <w:rsid w:val="30A00357"/>
    <w:rsid w:val="31543E51"/>
    <w:rsid w:val="31986219"/>
    <w:rsid w:val="31A60E7A"/>
    <w:rsid w:val="32314DF3"/>
    <w:rsid w:val="324B3BE9"/>
    <w:rsid w:val="32C65EB4"/>
    <w:rsid w:val="32CE0604"/>
    <w:rsid w:val="32D35A8A"/>
    <w:rsid w:val="32FB6313"/>
    <w:rsid w:val="33540645"/>
    <w:rsid w:val="33714439"/>
    <w:rsid w:val="33BC3366"/>
    <w:rsid w:val="340937C7"/>
    <w:rsid w:val="343F49FA"/>
    <w:rsid w:val="346B6B2C"/>
    <w:rsid w:val="34E44CCD"/>
    <w:rsid w:val="34F36D08"/>
    <w:rsid w:val="35436E7E"/>
    <w:rsid w:val="35467194"/>
    <w:rsid w:val="363C7E8D"/>
    <w:rsid w:val="363F3DD3"/>
    <w:rsid w:val="365F1018"/>
    <w:rsid w:val="37037A88"/>
    <w:rsid w:val="372B09D0"/>
    <w:rsid w:val="373A4A4F"/>
    <w:rsid w:val="37530728"/>
    <w:rsid w:val="37576783"/>
    <w:rsid w:val="37D77BE6"/>
    <w:rsid w:val="37F05781"/>
    <w:rsid w:val="385B5BCF"/>
    <w:rsid w:val="386461C5"/>
    <w:rsid w:val="387711DE"/>
    <w:rsid w:val="38B46DF5"/>
    <w:rsid w:val="390414E4"/>
    <w:rsid w:val="3930393C"/>
    <w:rsid w:val="3955193F"/>
    <w:rsid w:val="39B06369"/>
    <w:rsid w:val="39FF7EFD"/>
    <w:rsid w:val="3A0364FC"/>
    <w:rsid w:val="3A7B5AEE"/>
    <w:rsid w:val="3A8F5851"/>
    <w:rsid w:val="3AAC6BFF"/>
    <w:rsid w:val="3ABB0B9A"/>
    <w:rsid w:val="3ACE2F2C"/>
    <w:rsid w:val="3BB0465C"/>
    <w:rsid w:val="3BBA400D"/>
    <w:rsid w:val="3BC92B90"/>
    <w:rsid w:val="3C19050B"/>
    <w:rsid w:val="3C770DC6"/>
    <w:rsid w:val="3C8E6B0C"/>
    <w:rsid w:val="3C9D54F7"/>
    <w:rsid w:val="3CBB3ADF"/>
    <w:rsid w:val="3D163728"/>
    <w:rsid w:val="3D1B7C36"/>
    <w:rsid w:val="3DEF10E1"/>
    <w:rsid w:val="3E11502A"/>
    <w:rsid w:val="3E304FB2"/>
    <w:rsid w:val="3E3670DE"/>
    <w:rsid w:val="3EBD5A9A"/>
    <w:rsid w:val="3F015BDD"/>
    <w:rsid w:val="3F1F54C5"/>
    <w:rsid w:val="3F5216D7"/>
    <w:rsid w:val="3F99457D"/>
    <w:rsid w:val="40152ABF"/>
    <w:rsid w:val="401C1181"/>
    <w:rsid w:val="40C04DDA"/>
    <w:rsid w:val="40C21752"/>
    <w:rsid w:val="40DB1EF2"/>
    <w:rsid w:val="41017C5C"/>
    <w:rsid w:val="41962ED0"/>
    <w:rsid w:val="41B064F3"/>
    <w:rsid w:val="41D26C22"/>
    <w:rsid w:val="41EF2322"/>
    <w:rsid w:val="41F42EC9"/>
    <w:rsid w:val="41FC28B9"/>
    <w:rsid w:val="425547AD"/>
    <w:rsid w:val="427D6DCC"/>
    <w:rsid w:val="42A2700C"/>
    <w:rsid w:val="42B02C34"/>
    <w:rsid w:val="436D3888"/>
    <w:rsid w:val="449F53EB"/>
    <w:rsid w:val="44D94E51"/>
    <w:rsid w:val="44E901FC"/>
    <w:rsid w:val="45123777"/>
    <w:rsid w:val="458B598F"/>
    <w:rsid w:val="45EE28F1"/>
    <w:rsid w:val="460C1D34"/>
    <w:rsid w:val="46413016"/>
    <w:rsid w:val="46D3364F"/>
    <w:rsid w:val="475326C4"/>
    <w:rsid w:val="47635061"/>
    <w:rsid w:val="4770670F"/>
    <w:rsid w:val="47727F60"/>
    <w:rsid w:val="47895393"/>
    <w:rsid w:val="48530827"/>
    <w:rsid w:val="486E1965"/>
    <w:rsid w:val="48C20E01"/>
    <w:rsid w:val="49375A5F"/>
    <w:rsid w:val="4A1573D0"/>
    <w:rsid w:val="4A233794"/>
    <w:rsid w:val="4A427C8A"/>
    <w:rsid w:val="4A5C43AF"/>
    <w:rsid w:val="4A8C3BED"/>
    <w:rsid w:val="4B0373B9"/>
    <w:rsid w:val="4B3F4802"/>
    <w:rsid w:val="4BCE2767"/>
    <w:rsid w:val="4BDD7D7F"/>
    <w:rsid w:val="4C3E4E69"/>
    <w:rsid w:val="4C8C07AB"/>
    <w:rsid w:val="4C8C711A"/>
    <w:rsid w:val="4CFF4C38"/>
    <w:rsid w:val="4D52545F"/>
    <w:rsid w:val="4D7C3050"/>
    <w:rsid w:val="4E1F4CAD"/>
    <w:rsid w:val="4E4C52EF"/>
    <w:rsid w:val="4E610219"/>
    <w:rsid w:val="4F0F0231"/>
    <w:rsid w:val="4F4662AC"/>
    <w:rsid w:val="504C4981"/>
    <w:rsid w:val="507006A3"/>
    <w:rsid w:val="50BF6038"/>
    <w:rsid w:val="5105084E"/>
    <w:rsid w:val="51460F4F"/>
    <w:rsid w:val="514A5E8C"/>
    <w:rsid w:val="51516E38"/>
    <w:rsid w:val="51FF00FC"/>
    <w:rsid w:val="51FF3286"/>
    <w:rsid w:val="525A488F"/>
    <w:rsid w:val="52900D1A"/>
    <w:rsid w:val="52AA5996"/>
    <w:rsid w:val="52BA24B3"/>
    <w:rsid w:val="532271A8"/>
    <w:rsid w:val="53252177"/>
    <w:rsid w:val="532A4654"/>
    <w:rsid w:val="53642EF1"/>
    <w:rsid w:val="53714139"/>
    <w:rsid w:val="54932A95"/>
    <w:rsid w:val="54BB0789"/>
    <w:rsid w:val="558D1B39"/>
    <w:rsid w:val="55910990"/>
    <w:rsid w:val="55D01134"/>
    <w:rsid w:val="55FC44EF"/>
    <w:rsid w:val="561948A6"/>
    <w:rsid w:val="563344F3"/>
    <w:rsid w:val="566C11F4"/>
    <w:rsid w:val="56D83F93"/>
    <w:rsid w:val="57084632"/>
    <w:rsid w:val="576B1528"/>
    <w:rsid w:val="577D585F"/>
    <w:rsid w:val="580D10DF"/>
    <w:rsid w:val="581423C4"/>
    <w:rsid w:val="583A04DD"/>
    <w:rsid w:val="585A264D"/>
    <w:rsid w:val="586362C9"/>
    <w:rsid w:val="5866141B"/>
    <w:rsid w:val="58804DE0"/>
    <w:rsid w:val="58943F44"/>
    <w:rsid w:val="58FE5FCE"/>
    <w:rsid w:val="59394EFB"/>
    <w:rsid w:val="59905709"/>
    <w:rsid w:val="59F62207"/>
    <w:rsid w:val="5A0B666F"/>
    <w:rsid w:val="5A116BC4"/>
    <w:rsid w:val="5A425BE8"/>
    <w:rsid w:val="5A6875A6"/>
    <w:rsid w:val="5A753B98"/>
    <w:rsid w:val="5AE21DAB"/>
    <w:rsid w:val="5B2878C9"/>
    <w:rsid w:val="5B2E1ECE"/>
    <w:rsid w:val="5B482354"/>
    <w:rsid w:val="5B8747D1"/>
    <w:rsid w:val="5BF674C2"/>
    <w:rsid w:val="5C245A60"/>
    <w:rsid w:val="5C993AF1"/>
    <w:rsid w:val="5D285A9E"/>
    <w:rsid w:val="5D36575B"/>
    <w:rsid w:val="5D7A74B1"/>
    <w:rsid w:val="5E452C82"/>
    <w:rsid w:val="5E810A1E"/>
    <w:rsid w:val="5EF472D4"/>
    <w:rsid w:val="5F277D91"/>
    <w:rsid w:val="5F467EDF"/>
    <w:rsid w:val="5F9040A8"/>
    <w:rsid w:val="605D1356"/>
    <w:rsid w:val="60D0617F"/>
    <w:rsid w:val="60E14633"/>
    <w:rsid w:val="60FD7C81"/>
    <w:rsid w:val="61352C7C"/>
    <w:rsid w:val="61C376A1"/>
    <w:rsid w:val="61D408FB"/>
    <w:rsid w:val="61DA0858"/>
    <w:rsid w:val="627819E8"/>
    <w:rsid w:val="62DB24EA"/>
    <w:rsid w:val="642F10B8"/>
    <w:rsid w:val="64640047"/>
    <w:rsid w:val="648108C9"/>
    <w:rsid w:val="64BB0334"/>
    <w:rsid w:val="65697E2A"/>
    <w:rsid w:val="657432E4"/>
    <w:rsid w:val="658A4EC0"/>
    <w:rsid w:val="66D874C9"/>
    <w:rsid w:val="670562A3"/>
    <w:rsid w:val="67EE6BBB"/>
    <w:rsid w:val="685767CE"/>
    <w:rsid w:val="68D930AB"/>
    <w:rsid w:val="69FF6147"/>
    <w:rsid w:val="6A752DC1"/>
    <w:rsid w:val="6A7B7AE6"/>
    <w:rsid w:val="6A8676FB"/>
    <w:rsid w:val="6AA7574C"/>
    <w:rsid w:val="6AF80B13"/>
    <w:rsid w:val="6B246551"/>
    <w:rsid w:val="6B2A7987"/>
    <w:rsid w:val="6B577F6A"/>
    <w:rsid w:val="6B9C1546"/>
    <w:rsid w:val="6BAB49D6"/>
    <w:rsid w:val="6BF3585A"/>
    <w:rsid w:val="6BF559F1"/>
    <w:rsid w:val="6C2922B9"/>
    <w:rsid w:val="6CA11611"/>
    <w:rsid w:val="6CA86D8C"/>
    <w:rsid w:val="6CD1766D"/>
    <w:rsid w:val="6CEC7F45"/>
    <w:rsid w:val="6D4E0A34"/>
    <w:rsid w:val="6D547289"/>
    <w:rsid w:val="6DA61DE0"/>
    <w:rsid w:val="6E0C0D77"/>
    <w:rsid w:val="6E107EBB"/>
    <w:rsid w:val="6E7F4B8D"/>
    <w:rsid w:val="6E900775"/>
    <w:rsid w:val="6EF638A0"/>
    <w:rsid w:val="6F5558EE"/>
    <w:rsid w:val="6F557632"/>
    <w:rsid w:val="6F60676D"/>
    <w:rsid w:val="6F6E324C"/>
    <w:rsid w:val="6FF97F26"/>
    <w:rsid w:val="701F3831"/>
    <w:rsid w:val="702611AC"/>
    <w:rsid w:val="70287DFF"/>
    <w:rsid w:val="708846B2"/>
    <w:rsid w:val="70A4783A"/>
    <w:rsid w:val="716B23AE"/>
    <w:rsid w:val="7176014D"/>
    <w:rsid w:val="71FD5A93"/>
    <w:rsid w:val="72144FB9"/>
    <w:rsid w:val="72216421"/>
    <w:rsid w:val="72626D45"/>
    <w:rsid w:val="72783CE1"/>
    <w:rsid w:val="729F5721"/>
    <w:rsid w:val="72DB260B"/>
    <w:rsid w:val="72DF5288"/>
    <w:rsid w:val="73225DB2"/>
    <w:rsid w:val="73897AB6"/>
    <w:rsid w:val="73D60EB5"/>
    <w:rsid w:val="73FB73EE"/>
    <w:rsid w:val="73FC5E7F"/>
    <w:rsid w:val="74393BFA"/>
    <w:rsid w:val="74745055"/>
    <w:rsid w:val="74881D07"/>
    <w:rsid w:val="7495365D"/>
    <w:rsid w:val="74F26793"/>
    <w:rsid w:val="75150913"/>
    <w:rsid w:val="75CB0FF7"/>
    <w:rsid w:val="76047D9E"/>
    <w:rsid w:val="760D4FDE"/>
    <w:rsid w:val="769C0282"/>
    <w:rsid w:val="770D244F"/>
    <w:rsid w:val="772027AA"/>
    <w:rsid w:val="77294465"/>
    <w:rsid w:val="77537FE3"/>
    <w:rsid w:val="78FC64A9"/>
    <w:rsid w:val="79294877"/>
    <w:rsid w:val="79546587"/>
    <w:rsid w:val="798F51FB"/>
    <w:rsid w:val="7A3568C4"/>
    <w:rsid w:val="7A3C5648"/>
    <w:rsid w:val="7A5B4A6C"/>
    <w:rsid w:val="7AC011C4"/>
    <w:rsid w:val="7AED06A1"/>
    <w:rsid w:val="7AF10BC1"/>
    <w:rsid w:val="7B2919E0"/>
    <w:rsid w:val="7BAC769A"/>
    <w:rsid w:val="7BF27CDF"/>
    <w:rsid w:val="7C6163FE"/>
    <w:rsid w:val="7CCE444F"/>
    <w:rsid w:val="7CDB574B"/>
    <w:rsid w:val="7CF51964"/>
    <w:rsid w:val="7D0442F0"/>
    <w:rsid w:val="7D092E9E"/>
    <w:rsid w:val="7D337A0B"/>
    <w:rsid w:val="7D690EE9"/>
    <w:rsid w:val="7DBE01F2"/>
    <w:rsid w:val="7E12684B"/>
    <w:rsid w:val="7E966E99"/>
    <w:rsid w:val="7EB97C0D"/>
    <w:rsid w:val="7F3900CF"/>
    <w:rsid w:val="7F8E17F5"/>
    <w:rsid w:val="7FC40679"/>
    <w:rsid w:val="7FF63555"/>
    <w:rsid w:val="7FFF2640"/>
    <w:rsid w:val="F3EF1B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iPriority="0"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qFormat="1" w:uiPriority="99" w:semiHidden="0" w:name="footnote reference"/>
    <w:lsdException w:qFormat="1" w:uiPriority="99"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23"/>
    <w:qFormat/>
    <w:uiPriority w:val="9"/>
    <w:pPr>
      <w:keepNext/>
      <w:keepLines/>
      <w:spacing w:before="100" w:beforeLines="100" w:after="50" w:afterLines="50" w:line="300" w:lineRule="auto"/>
      <w:ind w:firstLine="800" w:firstLineChars="200"/>
      <w:outlineLvl w:val="0"/>
    </w:pPr>
    <w:rPr>
      <w:rFonts w:eastAsia="黑体"/>
      <w:b/>
      <w:bCs/>
      <w:color w:val="0070C0"/>
      <w:kern w:val="44"/>
      <w:sz w:val="32"/>
      <w:szCs w:val="44"/>
    </w:rPr>
  </w:style>
  <w:style w:type="paragraph" w:styleId="5">
    <w:name w:val="heading 2"/>
    <w:basedOn w:val="1"/>
    <w:next w:val="1"/>
    <w:link w:val="30"/>
    <w:qFormat/>
    <w:uiPriority w:val="9"/>
    <w:pPr>
      <w:keepNext/>
      <w:keepLines/>
      <w:spacing w:line="300" w:lineRule="auto"/>
      <w:ind w:firstLine="800" w:firstLineChars="200"/>
      <w:outlineLvl w:val="1"/>
    </w:pPr>
    <w:rPr>
      <w:rFonts w:ascii="Calibri Light" w:hAnsi="Calibri Light"/>
      <w:b/>
      <w:bCs/>
      <w:color w:val="0070C0"/>
      <w:sz w:val="30"/>
      <w:szCs w:val="32"/>
    </w:rPr>
  </w:style>
  <w:style w:type="paragraph" w:styleId="6">
    <w:name w:val="heading 3"/>
    <w:basedOn w:val="1"/>
    <w:next w:val="1"/>
    <w:link w:val="29"/>
    <w:qFormat/>
    <w:uiPriority w:val="9"/>
    <w:pPr>
      <w:keepNext/>
      <w:keepLines/>
      <w:spacing w:before="260" w:after="260" w:line="416" w:lineRule="auto"/>
      <w:outlineLvl w:val="2"/>
    </w:pPr>
    <w:rPr>
      <w:b/>
      <w:bCs/>
      <w:sz w:val="32"/>
      <w:szCs w:val="32"/>
    </w:rPr>
  </w:style>
  <w:style w:type="character" w:default="1" w:styleId="19">
    <w:name w:val="Default Paragraph Font"/>
    <w:unhideWhenUsed/>
    <w:qFormat/>
    <w:uiPriority w:val="1"/>
  </w:style>
  <w:style w:type="table" w:default="1" w:styleId="17">
    <w:name w:val="Normal Table"/>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0"/>
    <w:pPr>
      <w:spacing w:after="120"/>
    </w:pPr>
  </w:style>
  <w:style w:type="paragraph" w:customStyle="1" w:styleId="3">
    <w:name w:val="Default"/>
    <w:qFormat/>
    <w:uiPriority w:val="99"/>
    <w:pPr>
      <w:widowControl w:val="0"/>
      <w:autoSpaceDE w:val="0"/>
      <w:autoSpaceDN w:val="0"/>
      <w:adjustRightInd w:val="0"/>
    </w:pPr>
    <w:rPr>
      <w:rFonts w:ascii="Helvetica" w:hAnsi="Helvetica" w:eastAsia="宋体" w:cs="Helvetica"/>
      <w:color w:val="000000"/>
      <w:sz w:val="24"/>
      <w:szCs w:val="24"/>
      <w:lang w:val="en-US" w:eastAsia="zh-CN" w:bidi="ar-SA"/>
    </w:rPr>
  </w:style>
  <w:style w:type="paragraph" w:styleId="7">
    <w:name w:val="annotation text"/>
    <w:basedOn w:val="1"/>
    <w:link w:val="35"/>
    <w:unhideWhenUsed/>
    <w:qFormat/>
    <w:uiPriority w:val="99"/>
    <w:pPr>
      <w:jc w:val="left"/>
    </w:pPr>
    <w:rPr>
      <w:szCs w:val="22"/>
    </w:rPr>
  </w:style>
  <w:style w:type="paragraph" w:styleId="8">
    <w:name w:val="Plain Text"/>
    <w:basedOn w:val="1"/>
    <w:unhideWhenUsed/>
    <w:qFormat/>
    <w:uiPriority w:val="0"/>
    <w:rPr>
      <w:rFonts w:ascii="宋体" w:hAnsi="Courier New"/>
    </w:rPr>
  </w:style>
  <w:style w:type="paragraph" w:styleId="9">
    <w:name w:val="Balloon Text"/>
    <w:basedOn w:val="1"/>
    <w:link w:val="39"/>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sz w:val="18"/>
      <w:szCs w:val="18"/>
    </w:rPr>
  </w:style>
  <w:style w:type="paragraph" w:styleId="11">
    <w:name w:val="header"/>
    <w:basedOn w:val="1"/>
    <w:link w:val="36"/>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spacing w:line="300" w:lineRule="auto"/>
    </w:pPr>
    <w:rPr>
      <w:b/>
      <w:sz w:val="28"/>
    </w:rPr>
  </w:style>
  <w:style w:type="paragraph" w:styleId="13">
    <w:name w:val="footnote text"/>
    <w:basedOn w:val="1"/>
    <w:link w:val="37"/>
    <w:unhideWhenUsed/>
    <w:qFormat/>
    <w:uiPriority w:val="0"/>
    <w:pPr>
      <w:snapToGrid w:val="0"/>
      <w:jc w:val="left"/>
    </w:pPr>
    <w:rPr>
      <w:sz w:val="18"/>
      <w:szCs w:val="18"/>
    </w:rPr>
  </w:style>
  <w:style w:type="paragraph" w:styleId="14">
    <w:name w:val="toc 2"/>
    <w:basedOn w:val="1"/>
    <w:next w:val="1"/>
    <w:unhideWhenUsed/>
    <w:qFormat/>
    <w:uiPriority w:val="39"/>
    <w:pPr>
      <w:spacing w:line="300" w:lineRule="auto"/>
      <w:ind w:left="200" w:leftChars="200"/>
    </w:pPr>
    <w:rPr>
      <w:sz w:val="24"/>
    </w:rPr>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6">
    <w:name w:val="annotation subject"/>
    <w:basedOn w:val="7"/>
    <w:next w:val="7"/>
    <w:link w:val="38"/>
    <w:unhideWhenUsed/>
    <w:qFormat/>
    <w:uiPriority w:val="99"/>
    <w:rPr>
      <w:b/>
      <w:bCs/>
      <w:szCs w:val="24"/>
    </w:rPr>
  </w:style>
  <w:style w:type="table" w:styleId="18">
    <w:name w:val="Table Grid"/>
    <w:basedOn w:val="17"/>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unhideWhenUsed/>
    <w:qFormat/>
    <w:uiPriority w:val="99"/>
    <w:rPr>
      <w:color w:val="0563C1"/>
      <w:u w:val="single"/>
    </w:rPr>
  </w:style>
  <w:style w:type="character" w:styleId="21">
    <w:name w:val="annotation reference"/>
    <w:unhideWhenUsed/>
    <w:qFormat/>
    <w:uiPriority w:val="99"/>
    <w:rPr>
      <w:sz w:val="21"/>
      <w:szCs w:val="21"/>
    </w:rPr>
  </w:style>
  <w:style w:type="character" w:styleId="22">
    <w:name w:val="footnote reference"/>
    <w:unhideWhenUsed/>
    <w:qFormat/>
    <w:uiPriority w:val="99"/>
    <w:rPr>
      <w:vertAlign w:val="superscript"/>
    </w:rPr>
  </w:style>
  <w:style w:type="character" w:customStyle="1" w:styleId="23">
    <w:name w:val="标题 1 Char"/>
    <w:link w:val="4"/>
    <w:qFormat/>
    <w:uiPriority w:val="9"/>
    <w:rPr>
      <w:rFonts w:eastAsia="黑体"/>
      <w:b/>
      <w:bCs/>
      <w:color w:val="0070C0"/>
      <w:kern w:val="44"/>
      <w:sz w:val="32"/>
      <w:szCs w:val="44"/>
    </w:rPr>
  </w:style>
  <w:style w:type="character" w:customStyle="1" w:styleId="24">
    <w:name w:val="页脚 Char"/>
    <w:link w:val="10"/>
    <w:qFormat/>
    <w:uiPriority w:val="99"/>
    <w:rPr>
      <w:kern w:val="2"/>
      <w:sz w:val="18"/>
      <w:szCs w:val="18"/>
    </w:rPr>
  </w:style>
  <w:style w:type="character" w:customStyle="1" w:styleId="25">
    <w:name w:val="font31"/>
    <w:qFormat/>
    <w:uiPriority w:val="0"/>
    <w:rPr>
      <w:rFonts w:hint="eastAsia" w:ascii="宋体" w:hAnsi="宋体" w:eastAsia="宋体"/>
      <w:color w:val="000000"/>
      <w:sz w:val="21"/>
      <w:szCs w:val="21"/>
      <w:u w:val="none"/>
    </w:rPr>
  </w:style>
  <w:style w:type="character" w:customStyle="1" w:styleId="26">
    <w:name w:val="font11"/>
    <w:qFormat/>
    <w:uiPriority w:val="0"/>
    <w:rPr>
      <w:rFonts w:hint="default" w:ascii="Times New Roman" w:hAnsi="Times New Roman" w:cs="Times New Roman"/>
      <w:color w:val="000000"/>
      <w:sz w:val="21"/>
      <w:szCs w:val="21"/>
      <w:u w:val="none"/>
    </w:rPr>
  </w:style>
  <w:style w:type="character" w:customStyle="1" w:styleId="27">
    <w:name w:val="内容 字符"/>
    <w:link w:val="28"/>
    <w:qFormat/>
    <w:uiPriority w:val="0"/>
    <w:rPr>
      <w:rFonts w:ascii="宋体" w:hAnsi="宋体" w:eastAsia="宋体" w:cs="宋体"/>
      <w:kern w:val="2"/>
      <w:sz w:val="24"/>
      <w:szCs w:val="24"/>
    </w:rPr>
  </w:style>
  <w:style w:type="paragraph" w:customStyle="1" w:styleId="28">
    <w:name w:val="内容"/>
    <w:basedOn w:val="1"/>
    <w:link w:val="27"/>
    <w:qFormat/>
    <w:uiPriority w:val="0"/>
    <w:pPr>
      <w:spacing w:line="360" w:lineRule="auto"/>
      <w:ind w:firstLine="527"/>
    </w:pPr>
    <w:rPr>
      <w:rFonts w:ascii="宋体" w:hAnsi="宋体" w:cs="宋体"/>
      <w:sz w:val="24"/>
    </w:rPr>
  </w:style>
  <w:style w:type="character" w:customStyle="1" w:styleId="29">
    <w:name w:val="标题 3 Char"/>
    <w:link w:val="6"/>
    <w:qFormat/>
    <w:uiPriority w:val="9"/>
    <w:rPr>
      <w:rFonts w:ascii="Calibri" w:hAnsi="Calibri" w:eastAsia="宋体" w:cs="Times New Roman"/>
      <w:b/>
      <w:bCs/>
      <w:kern w:val="2"/>
      <w:sz w:val="32"/>
      <w:szCs w:val="32"/>
    </w:rPr>
  </w:style>
  <w:style w:type="character" w:customStyle="1" w:styleId="30">
    <w:name w:val="标题 2 Char"/>
    <w:link w:val="5"/>
    <w:qFormat/>
    <w:uiPriority w:val="9"/>
    <w:rPr>
      <w:rFonts w:ascii="Calibri Light" w:hAnsi="Calibri Light" w:eastAsia="宋体"/>
      <w:b/>
      <w:bCs/>
      <w:color w:val="0070C0"/>
      <w:kern w:val="2"/>
      <w:sz w:val="30"/>
      <w:szCs w:val="32"/>
    </w:rPr>
  </w:style>
  <w:style w:type="character" w:customStyle="1" w:styleId="31">
    <w:name w:val="二级标题 字符"/>
    <w:link w:val="32"/>
    <w:qFormat/>
    <w:uiPriority w:val="0"/>
    <w:rPr>
      <w:rFonts w:ascii="黑体" w:hAnsi="Cambria" w:eastAsia="宋体" w:cs="黑体"/>
      <w:b/>
      <w:bCs/>
      <w:kern w:val="2"/>
      <w:sz w:val="28"/>
      <w:szCs w:val="30"/>
    </w:rPr>
  </w:style>
  <w:style w:type="paragraph" w:customStyle="1" w:styleId="32">
    <w:name w:val="二级标题"/>
    <w:basedOn w:val="1"/>
    <w:link w:val="31"/>
    <w:qFormat/>
    <w:uiPriority w:val="0"/>
    <w:pPr>
      <w:keepNext/>
      <w:keepLines/>
      <w:spacing w:before="260" w:after="260"/>
      <w:ind w:firstLine="200" w:firstLineChars="200"/>
      <w:outlineLvl w:val="2"/>
    </w:pPr>
    <w:rPr>
      <w:rFonts w:ascii="黑体" w:hAnsi="Cambria" w:cs="黑体"/>
      <w:b/>
      <w:bCs/>
      <w:sz w:val="28"/>
      <w:szCs w:val="30"/>
    </w:rPr>
  </w:style>
  <w:style w:type="character" w:customStyle="1" w:styleId="33">
    <w:name w:val="biaoti3 字符"/>
    <w:link w:val="34"/>
    <w:qFormat/>
    <w:uiPriority w:val="0"/>
    <w:rPr>
      <w:rFonts w:ascii="黑体" w:hAnsi="黑体" w:eastAsia="宋体" w:cs="黑体"/>
      <w:kern w:val="2"/>
      <w:sz w:val="28"/>
      <w:szCs w:val="30"/>
    </w:rPr>
  </w:style>
  <w:style w:type="paragraph" w:customStyle="1" w:styleId="34">
    <w:name w:val="biaoti3"/>
    <w:basedOn w:val="1"/>
    <w:link w:val="33"/>
    <w:qFormat/>
    <w:uiPriority w:val="0"/>
    <w:pPr>
      <w:ind w:firstLine="200" w:firstLineChars="200"/>
    </w:pPr>
    <w:rPr>
      <w:rFonts w:ascii="黑体" w:hAnsi="黑体" w:cs="黑体"/>
      <w:sz w:val="28"/>
      <w:szCs w:val="30"/>
    </w:rPr>
  </w:style>
  <w:style w:type="character" w:customStyle="1" w:styleId="35">
    <w:name w:val="批注文字 Char"/>
    <w:link w:val="7"/>
    <w:qFormat/>
    <w:uiPriority w:val="99"/>
    <w:rPr>
      <w:kern w:val="2"/>
      <w:sz w:val="21"/>
      <w:szCs w:val="22"/>
    </w:rPr>
  </w:style>
  <w:style w:type="character" w:customStyle="1" w:styleId="36">
    <w:name w:val="页眉 Char"/>
    <w:link w:val="11"/>
    <w:qFormat/>
    <w:uiPriority w:val="99"/>
    <w:rPr>
      <w:kern w:val="2"/>
      <w:sz w:val="18"/>
      <w:szCs w:val="18"/>
    </w:rPr>
  </w:style>
  <w:style w:type="character" w:customStyle="1" w:styleId="37">
    <w:name w:val="脚注文本 Char"/>
    <w:link w:val="13"/>
    <w:qFormat/>
    <w:uiPriority w:val="0"/>
    <w:rPr>
      <w:rFonts w:ascii="Calibri" w:hAnsi="Calibri" w:eastAsia="宋体" w:cs="Times New Roman"/>
      <w:kern w:val="2"/>
      <w:sz w:val="18"/>
      <w:szCs w:val="18"/>
    </w:rPr>
  </w:style>
  <w:style w:type="character" w:customStyle="1" w:styleId="38">
    <w:name w:val="批注主题 Char"/>
    <w:link w:val="16"/>
    <w:qFormat/>
    <w:uiPriority w:val="99"/>
    <w:rPr>
      <w:rFonts w:ascii="Calibri" w:hAnsi="Calibri" w:eastAsia="宋体" w:cs="Times New Roman"/>
      <w:b/>
      <w:bCs/>
      <w:kern w:val="2"/>
      <w:sz w:val="21"/>
      <w:szCs w:val="24"/>
    </w:rPr>
  </w:style>
  <w:style w:type="character" w:customStyle="1" w:styleId="39">
    <w:name w:val="批注框文本 Char"/>
    <w:link w:val="9"/>
    <w:qFormat/>
    <w:uiPriority w:val="99"/>
    <w:rPr>
      <w:rFonts w:ascii="Calibri" w:hAnsi="Calibri" w:eastAsia="宋体" w:cs="Times New Roman"/>
      <w:kern w:val="2"/>
      <w:sz w:val="18"/>
      <w:szCs w:val="18"/>
    </w:rPr>
  </w:style>
  <w:style w:type="paragraph" w:customStyle="1" w:styleId="40">
    <w:name w:val="TOC 标题1"/>
    <w:basedOn w:val="4"/>
    <w:next w:val="1"/>
    <w:unhideWhenUsed/>
    <w:qFormat/>
    <w:uiPriority w:val="39"/>
    <w:pPr>
      <w:widowControl/>
      <w:spacing w:before="480" w:line="276" w:lineRule="auto"/>
      <w:jc w:val="left"/>
      <w:outlineLvl w:val="9"/>
    </w:pPr>
    <w:rPr>
      <w:rFonts w:ascii="Calibri Light" w:hAnsi="Calibri Light" w:eastAsia="宋体"/>
      <w:color w:val="2E75B5"/>
      <w:kern w:val="0"/>
      <w:sz w:val="28"/>
      <w:szCs w:val="28"/>
    </w:rPr>
  </w:style>
  <w:style w:type="paragraph" w:customStyle="1" w:styleId="41">
    <w:name w:val="List Paragraph"/>
    <w:basedOn w:val="1"/>
    <w:qFormat/>
    <w:uiPriority w:val="34"/>
    <w:pPr>
      <w:ind w:firstLine="420" w:firstLineChars="200"/>
    </w:pPr>
  </w:style>
  <w:style w:type="table" w:customStyle="1" w:styleId="42">
    <w:name w:val="网格型4"/>
    <w:basedOn w:val="1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3">
    <w:name w:val="网格型1"/>
    <w:basedOn w:val="1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4">
    <w:name w:val="网格型2"/>
    <w:basedOn w:val="1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45">
    <w:name w:val="网格型3"/>
    <w:basedOn w:val="1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46">
    <w:name w:val="正文1"/>
    <w:qFormat/>
    <w:uiPriority w:val="0"/>
    <w:pPr>
      <w:jc w:val="both"/>
    </w:pPr>
    <w:rPr>
      <w:rFonts w:ascii="Calibri" w:hAnsi="Calibri" w:eastAsia="宋体" w:cs="宋体"/>
      <w:kern w:val="2"/>
      <w:sz w:val="21"/>
      <w:szCs w:val="21"/>
      <w:lang w:val="en-US" w:eastAsia="zh-CN" w:bidi="ar-SA"/>
    </w:rPr>
  </w:style>
  <w:style w:type="character" w:customStyle="1" w:styleId="47">
    <w:name w:val="font21"/>
    <w:basedOn w:val="19"/>
    <w:qFormat/>
    <w:uiPriority w:val="0"/>
    <w:rPr>
      <w:rFonts w:hint="eastAsia" w:ascii="宋体" w:hAnsi="宋体" w:eastAsia="宋体" w:cs="宋体"/>
      <w:color w:val="000000"/>
      <w:sz w:val="24"/>
      <w:szCs w:val="24"/>
      <w:u w:val="none"/>
    </w:rPr>
  </w:style>
  <w:style w:type="paragraph" w:customStyle="1" w:styleId="48">
    <w:name w:val="cjk"/>
    <w:basedOn w:val="1"/>
    <w:qFormat/>
    <w:uiPriority w:val="0"/>
    <w:pPr>
      <w:widowControl/>
      <w:spacing w:before="100" w:beforeAutospacing="1" w:after="142" w:line="288" w:lineRule="auto"/>
      <w:ind w:firstLine="200" w:firstLineChars="200"/>
    </w:pPr>
    <w:rPr>
      <w:rFonts w:ascii="宋体" w:hAnsi="宋体" w:cs="宋体"/>
      <w:kern w:val="0"/>
      <w:sz w:val="20"/>
      <w:szCs w:val="20"/>
    </w:rPr>
  </w:style>
  <w:style w:type="character" w:customStyle="1" w:styleId="49">
    <w:name w:val="font01"/>
    <w:basedOn w:val="19"/>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1.xml"/><Relationship Id="rId5" Type="http://schemas.openxmlformats.org/officeDocument/2006/relationships/header" Target="header2.xml"/><Relationship Id="rId49" Type="http://schemas.openxmlformats.org/officeDocument/2006/relationships/fontTable" Target="fontTable.xml"/><Relationship Id="rId48" Type="http://schemas.openxmlformats.org/officeDocument/2006/relationships/numbering" Target="numbering.xml"/><Relationship Id="rId47" Type="http://schemas.openxmlformats.org/officeDocument/2006/relationships/customXml" Target="../customXml/item1.xml"/><Relationship Id="rId46" Type="http://schemas.openxmlformats.org/officeDocument/2006/relationships/image" Target="media/image30.jpeg"/><Relationship Id="rId45" Type="http://schemas.openxmlformats.org/officeDocument/2006/relationships/image" Target="media/image29.jpeg"/><Relationship Id="rId44" Type="http://schemas.openxmlformats.org/officeDocument/2006/relationships/image" Target="media/image28.png"/><Relationship Id="rId43" Type="http://schemas.openxmlformats.org/officeDocument/2006/relationships/image" Target="media/image27.jpeg"/><Relationship Id="rId42" Type="http://schemas.openxmlformats.org/officeDocument/2006/relationships/image" Target="media/image26.png"/><Relationship Id="rId41" Type="http://schemas.openxmlformats.org/officeDocument/2006/relationships/chart" Target="charts/chart8.xml"/><Relationship Id="rId40" Type="http://schemas.openxmlformats.org/officeDocument/2006/relationships/image" Target="media/image25.jpeg"/><Relationship Id="rId4" Type="http://schemas.openxmlformats.org/officeDocument/2006/relationships/header" Target="header1.xml"/><Relationship Id="rId39" Type="http://schemas.openxmlformats.org/officeDocument/2006/relationships/image" Target="media/image24.jpeg"/><Relationship Id="rId38" Type="http://schemas.openxmlformats.org/officeDocument/2006/relationships/image" Target="media/image23.jpeg"/><Relationship Id="rId37" Type="http://schemas.openxmlformats.org/officeDocument/2006/relationships/image" Target="media/image22.jpeg"/><Relationship Id="rId36" Type="http://schemas.openxmlformats.org/officeDocument/2006/relationships/chart" Target="charts/chart7.xml"/><Relationship Id="rId35" Type="http://schemas.openxmlformats.org/officeDocument/2006/relationships/chart" Target="charts/chart6.xml"/><Relationship Id="rId34" Type="http://schemas.openxmlformats.org/officeDocument/2006/relationships/chart" Target="charts/chart5.xml"/><Relationship Id="rId33" Type="http://schemas.openxmlformats.org/officeDocument/2006/relationships/image" Target="media/image21.png"/><Relationship Id="rId32" Type="http://schemas.openxmlformats.org/officeDocument/2006/relationships/image" Target="media/image20.jpeg"/><Relationship Id="rId31" Type="http://schemas.openxmlformats.org/officeDocument/2006/relationships/image" Target="media/image19.jpeg"/><Relationship Id="rId30" Type="http://schemas.openxmlformats.org/officeDocument/2006/relationships/image" Target="media/image18.jpeg"/><Relationship Id="rId3" Type="http://schemas.openxmlformats.org/officeDocument/2006/relationships/footnotes" Target="footnotes.xml"/><Relationship Id="rId29" Type="http://schemas.openxmlformats.org/officeDocument/2006/relationships/image" Target="media/image17.jpeg"/><Relationship Id="rId28" Type="http://schemas.openxmlformats.org/officeDocument/2006/relationships/image" Target="media/image16.jpeg"/><Relationship Id="rId27" Type="http://schemas.openxmlformats.org/officeDocument/2006/relationships/image" Target="media/image15.jpeg"/><Relationship Id="rId26" Type="http://schemas.openxmlformats.org/officeDocument/2006/relationships/image" Target="media/image14.jpeg"/><Relationship Id="rId25" Type="http://schemas.openxmlformats.org/officeDocument/2006/relationships/chart" Target="charts/chart4.xml"/><Relationship Id="rId24" Type="http://schemas.openxmlformats.org/officeDocument/2006/relationships/chart" Target="charts/chart3.xml"/><Relationship Id="rId23" Type="http://schemas.openxmlformats.org/officeDocument/2006/relationships/chart" Target="charts/chart2.xml"/><Relationship Id="rId22" Type="http://schemas.openxmlformats.org/officeDocument/2006/relationships/chart" Target="charts/chart1.xml"/><Relationship Id="rId21" Type="http://schemas.openxmlformats.org/officeDocument/2006/relationships/image" Target="media/image13.jpeg"/><Relationship Id="rId20" Type="http://schemas.openxmlformats.org/officeDocument/2006/relationships/image" Target="media/image12.jpe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jpeg"/><Relationship Id="rId17" Type="http://schemas.openxmlformats.org/officeDocument/2006/relationships/image" Target="media/image9.jpe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2" Type="http://schemas.openxmlformats.org/officeDocument/2006/relationships/themeOverride" Target="../theme/themeOverride2.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7.xlsx"/></Relationships>
</file>

<file path=word/charts/_rels/chart8.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2019-2020学年</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在校生人数</c:v>
                </c:pt>
                <c:pt idx="1">
                  <c:v>毕业生人数</c:v>
                </c:pt>
                <c:pt idx="2">
                  <c:v>招生人数</c:v>
                </c:pt>
              </c:strCache>
            </c:strRef>
          </c:cat>
          <c:val>
            <c:numRef>
              <c:f>Sheet1!$B$2:$B$4</c:f>
              <c:numCache>
                <c:formatCode>General</c:formatCode>
                <c:ptCount val="3"/>
                <c:pt idx="0">
                  <c:v>1284</c:v>
                </c:pt>
                <c:pt idx="1">
                  <c:v>278</c:v>
                </c:pt>
                <c:pt idx="2">
                  <c:v>552</c:v>
                </c:pt>
              </c:numCache>
            </c:numRef>
          </c:val>
        </c:ser>
        <c:ser>
          <c:idx val="1"/>
          <c:order val="1"/>
          <c:tx>
            <c:strRef>
              <c:f>Sheet1!$C$1</c:f>
              <c:strCache>
                <c:ptCount val="1"/>
                <c:pt idx="0">
                  <c:v>2020-2021学年</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prstDash val="solid"/>
                      <a:round/>
                    </a:ln>
                    <a:effectLst/>
                  </c:spPr>
                </c15:leaderLines>
              </c:ext>
            </c:extLst>
          </c:dLbls>
          <c:cat>
            <c:strRef>
              <c:f>Sheet1!$A$2:$A$4</c:f>
              <c:strCache>
                <c:ptCount val="3"/>
                <c:pt idx="0">
                  <c:v>在校生人数</c:v>
                </c:pt>
                <c:pt idx="1">
                  <c:v>毕业生人数</c:v>
                </c:pt>
                <c:pt idx="2">
                  <c:v>招生人数</c:v>
                </c:pt>
              </c:strCache>
            </c:strRef>
          </c:cat>
          <c:val>
            <c:numRef>
              <c:f>Sheet1!$C$2:$C$4</c:f>
              <c:numCache>
                <c:formatCode>General</c:formatCode>
                <c:ptCount val="3"/>
                <c:pt idx="0">
                  <c:v>1463</c:v>
                </c:pt>
                <c:pt idx="1">
                  <c:v>365</c:v>
                </c:pt>
                <c:pt idx="2">
                  <c:v>630</c:v>
                </c:pt>
              </c:numCache>
            </c:numRef>
          </c:val>
        </c:ser>
        <c:dLbls>
          <c:showLegendKey val="0"/>
          <c:showVal val="1"/>
          <c:showCatName val="0"/>
          <c:showSerName val="0"/>
          <c:showPercent val="0"/>
          <c:showBubbleSize val="0"/>
        </c:dLbls>
        <c:gapWidth val="75"/>
        <c:overlap val="0"/>
        <c:axId val="243556352"/>
        <c:axId val="243557888"/>
      </c:barChart>
      <c:catAx>
        <c:axId val="243556352"/>
        <c:scaling>
          <c:orientation val="minMax"/>
        </c:scaling>
        <c:delete val="0"/>
        <c:axPos val="b"/>
        <c:numFmt formatCode="General" sourceLinked="0"/>
        <c:majorTickMark val="none"/>
        <c:minorTickMark val="none"/>
        <c:tickLblPos val="nextTo"/>
        <c:spPr>
          <a:noFill/>
          <a:ln w="9525" cap="flat" cmpd="sng" algn="ctr">
            <a:solidFill>
              <a:schemeClr val="tx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3557888"/>
        <c:crosses val="autoZero"/>
        <c:auto val="1"/>
        <c:lblAlgn val="ctr"/>
        <c:lblOffset val="100"/>
        <c:noMultiLvlLbl val="0"/>
      </c:catAx>
      <c:valAx>
        <c:axId val="243557888"/>
        <c:scaling>
          <c:orientation val="minMax"/>
        </c:scaling>
        <c:delete val="0"/>
        <c:axPos val="l"/>
        <c:numFmt formatCode="General" sourceLinked="1"/>
        <c:majorTickMark val="none"/>
        <c:minorTickMark val="none"/>
        <c:tickLblPos val="nextTo"/>
        <c:spPr>
          <a:noFill/>
          <a:ln w="9525" cap="flat" cmpd="sng" algn="ctr">
            <a:solidFill>
              <a:schemeClr val="tx1"/>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43556352"/>
        <c:crosses val="autoZero"/>
        <c:crossBetween val="between"/>
        <c:majorUnit val="400"/>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explosion val="0"/>
          <c:dPt>
            <c:idx val="0"/>
            <c:bubble3D val="0"/>
            <c:spPr>
              <a:solidFill>
                <a:schemeClr val="accent1"/>
              </a:solidFill>
              <a:ln w="9525" cap="flat" cmpd="sng" algn="ctr">
                <a:solidFill>
                  <a:schemeClr val="lt1">
                    <a:shade val="95000"/>
                    <a:satMod val="105000"/>
                  </a:schemeClr>
                </a:solidFill>
                <a:prstDash val="solid"/>
                <a:round/>
              </a:ln>
              <a:effectLst>
                <a:outerShdw blurRad="40000" dist="20000" dir="5400000" rotWithShape="0">
                  <a:srgbClr val="000000">
                    <a:alpha val="38000"/>
                  </a:srgbClr>
                </a:outerShdw>
              </a:effectLst>
            </c:spPr>
          </c:dPt>
          <c:dPt>
            <c:idx val="1"/>
            <c:bubble3D val="0"/>
            <c:spPr>
              <a:solidFill>
                <a:schemeClr val="accent6"/>
              </a:solidFill>
              <a:ln w="9525" cap="flat" cmpd="sng" algn="ctr">
                <a:solidFill>
                  <a:schemeClr val="lt1">
                    <a:shade val="95000"/>
                    <a:satMod val="105000"/>
                  </a:schemeClr>
                </a:solidFill>
                <a:prstDash val="solid"/>
                <a:round/>
              </a:ln>
              <a:effectLst>
                <a:outerShdw blurRad="40000" dist="20000" dir="5400000" rotWithShape="0">
                  <a:srgbClr val="000000">
                    <a:alpha val="38000"/>
                  </a:srgbClr>
                </a:outerShdw>
              </a:effectLst>
            </c:spPr>
          </c:dPt>
          <c:dPt>
            <c:idx val="2"/>
            <c:bubble3D val="0"/>
            <c:spPr>
              <a:solidFill>
                <a:schemeClr val="accent3"/>
              </a:solidFill>
              <a:ln w="9525" cap="flat" cmpd="sng" algn="ctr">
                <a:solidFill>
                  <a:schemeClr val="lt1">
                    <a:shade val="95000"/>
                    <a:satMod val="105000"/>
                  </a:schemeClr>
                </a:solidFill>
                <a:prstDash val="solid"/>
                <a:round/>
              </a:ln>
              <a:effectLst>
                <a:outerShdw blurRad="40000" dist="20000" dir="5400000" rotWithShape="0">
                  <a:srgbClr val="000000">
                    <a:alpha val="38000"/>
                  </a:srgbClr>
                </a:outerShdw>
              </a:effectLst>
            </c:spPr>
          </c:dPt>
          <c:dLbls>
            <c:dLbl>
              <c:idx val="0"/>
              <c:layout>
                <c:manualLayout>
                  <c:x val="0.0916813352371498"/>
                  <c:y val="0"/>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375034712579839"/>
                      <c:h val="0.182101387708864"/>
                    </c:manualLayout>
                  </c15:layout>
                </c:ext>
              </c:extLst>
            </c:dLbl>
            <c:dLbl>
              <c:idx val="1"/>
              <c:layout>
                <c:manualLayout>
                  <c:x val="0.238235442036005"/>
                  <c:y val="-0.30456139881410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69011997979564"/>
                  <c:y val="0.0016327823083287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7930842163971"/>
                      <c:h val="0.193483275663206"/>
                    </c:manualLayout>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shade val="95000"/>
                          <a:satMod val="105000"/>
                        </a:schemeClr>
                      </a:solidFill>
                      <a:prstDash val="solid"/>
                      <a:round/>
                    </a:ln>
                    <a:effectLst/>
                  </c:spPr>
                </c15:leaderLines>
              </c:ext>
            </c:extLst>
          </c:dLbls>
          <c:cat>
            <c:strRef>
              <c:f>Sheet1!$A$2:$A$4</c:f>
              <c:strCache>
                <c:ptCount val="3"/>
                <c:pt idx="0">
                  <c:v>研究生及以上</c:v>
                </c:pt>
                <c:pt idx="1">
                  <c:v>本科</c:v>
                </c:pt>
                <c:pt idx="2">
                  <c:v>专科</c:v>
                </c:pt>
              </c:strCache>
            </c:strRef>
          </c:cat>
          <c:val>
            <c:numRef>
              <c:f>Sheet1!$B$2:$B$4</c:f>
              <c:numCache>
                <c:formatCode>0.00%</c:formatCode>
                <c:ptCount val="3"/>
                <c:pt idx="0">
                  <c:v>0</c:v>
                </c:pt>
                <c:pt idx="1">
                  <c:v>0.963</c:v>
                </c:pt>
                <c:pt idx="2">
                  <c:v>0.037</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zero"/>
    <c:showDLblsOverMax val="0"/>
  </c:chart>
  <c:spPr>
    <a:solidFill>
      <a:schemeClr val="bg1"/>
    </a:solidFill>
    <a:ln w="9525" cap="flat" cmpd="sng" algn="ctr">
      <a:no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列1</c:v>
                </c:pt>
              </c:strCache>
            </c:strRef>
          </c:tx>
          <c:explosion val="0"/>
          <c:dPt>
            <c:idx val="0"/>
            <c:bubble3D val="0"/>
          </c:dPt>
          <c:dPt>
            <c:idx val="1"/>
            <c:bubble3D val="0"/>
            <c:spPr>
              <a:solidFill>
                <a:srgbClr val="9BBB59"/>
              </a:solidFill>
            </c:spPr>
          </c:dPt>
          <c:dPt>
            <c:idx val="2"/>
            <c:bubble3D val="0"/>
            <c:spPr>
              <a:solidFill>
                <a:srgbClr val="F79646"/>
              </a:solidFill>
            </c:spPr>
          </c:dPt>
          <c:dPt>
            <c:idx val="3"/>
            <c:bubble3D val="0"/>
          </c:dPt>
          <c:dLbls>
            <c:dLbl>
              <c:idx val="0"/>
              <c:layout>
                <c:manualLayout>
                  <c:x val="0.0245105173036402"/>
                  <c:y val="2.25551869035564e-7"/>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70775375292659"/>
                      <c:h val="0.207246376811594"/>
                    </c:manualLayout>
                  </c15:layout>
                </c:ext>
              </c:extLst>
            </c:dLbl>
            <c:dLbl>
              <c:idx val="1"/>
              <c:layout>
                <c:manualLayout>
                  <c:x val="0.0230233769416954"/>
                  <c:y val="-0.0601557732112754"/>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00355800105622901"/>
                  <c:y val="-0.0103122314523061"/>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53835559840242"/>
                      <c:h val="0.18695652173913"/>
                    </c:manualLayout>
                  </c15:layout>
                </c:ext>
              </c:extLst>
            </c:dLbl>
            <c:dLbl>
              <c:idx val="3"/>
              <c:layout>
                <c:manualLayout>
                  <c:x val="-0.0554217802635256"/>
                  <c:y val="0"/>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Sheet1!$A$2:$A$5</c:f>
              <c:strCache>
                <c:ptCount val="4"/>
                <c:pt idx="0">
                  <c:v>副高及以上</c:v>
                </c:pt>
                <c:pt idx="1">
                  <c:v>中级</c:v>
                </c:pt>
                <c:pt idx="2">
                  <c:v>初级</c:v>
                </c:pt>
                <c:pt idx="3">
                  <c:v>其他</c:v>
                </c:pt>
              </c:strCache>
            </c:strRef>
          </c:cat>
          <c:val>
            <c:numRef>
              <c:f>Sheet1!$B$2:$B$5</c:f>
              <c:numCache>
                <c:formatCode>0.00%</c:formatCode>
                <c:ptCount val="4"/>
                <c:pt idx="0">
                  <c:v>0.234567901234568</c:v>
                </c:pt>
                <c:pt idx="1">
                  <c:v>0.283950617283951</c:v>
                </c:pt>
                <c:pt idx="2">
                  <c:v>0.469135802469136</c:v>
                </c:pt>
                <c:pt idx="3">
                  <c:v>0.0123456790123457</c:v>
                </c:pt>
              </c:numCache>
            </c:numRef>
          </c:val>
        </c:ser>
        <c:dLbls>
          <c:showLegendKey val="0"/>
          <c:showVal val="0"/>
          <c:showCatName val="1"/>
          <c:showSerName val="0"/>
          <c:showPercent val="1"/>
          <c:showBubbleSize val="0"/>
          <c:showLeaderLines val="1"/>
        </c:dLbls>
        <c:firstSliceAng val="0"/>
      </c:pieChart>
    </c:plotArea>
    <c:plotVisOnly val="1"/>
    <c:dispBlanksAs val="zero"/>
    <c:showDLblsOverMax val="0"/>
  </c:chart>
  <c:spPr>
    <a:ln w="9525" cap="flat" cmpd="sng" algn="ctr">
      <a:noFill/>
      <a:prstDash val="solid"/>
      <a:round/>
    </a:ln>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列1</c:v>
                </c:pt>
              </c:strCache>
            </c:strRef>
          </c:tx>
          <c:explosion val="0"/>
          <c:dPt>
            <c:idx val="0"/>
            <c:bubble3D val="0"/>
          </c:dPt>
          <c:dPt>
            <c:idx val="1"/>
            <c:bubble3D val="0"/>
            <c:spPr>
              <a:solidFill>
                <a:srgbClr val="9BBB59"/>
              </a:solidFill>
            </c:spPr>
          </c:dPt>
          <c:dPt>
            <c:idx val="2"/>
            <c:bubble3D val="0"/>
            <c:spPr>
              <a:solidFill>
                <a:srgbClr val="F79646"/>
              </a:solidFill>
            </c:spPr>
          </c:dPt>
          <c:dPt>
            <c:idx val="3"/>
            <c:bubble3D val="0"/>
          </c:dPt>
          <c:dLbls>
            <c:dLbl>
              <c:idx val="0"/>
              <c:layout>
                <c:manualLayout>
                  <c:x val="0.0544835136013502"/>
                  <c:y val="-0.000818807261717826"/>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191828793774319"/>
                      <c:h val="0.194850948509485"/>
                    </c:manualLayout>
                  </c15:layout>
                </c:ext>
              </c:extLst>
            </c:dLbl>
            <c:dLbl>
              <c:idx val="1"/>
              <c:layout>
                <c:manualLayout>
                  <c:x val="-0.0184004515728076"/>
                  <c:y val="0.00382607123894305"/>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0416988716381487"/>
                  <c:y val="0.164992826398852"/>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399682530632259"/>
                      <c:h val="0.257181396084456"/>
                    </c:manualLayout>
                  </c15:layout>
                </c:ext>
              </c:extLst>
            </c:dLbl>
            <c:dLbl>
              <c:idx val="3"/>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56岁及以上1.23%</a:t>
                    </a:r>
                  </a:p>
                </c:rich>
              </c:tx>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371325126719768"/>
                      <c:h val="0.155523672883788"/>
                    </c:manualLayout>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ext>
            </c:extLst>
          </c:dLbls>
          <c:cat>
            <c:strRef>
              <c:f>Sheet1!$A$2:$A$5</c:f>
              <c:strCache>
                <c:ptCount val="4"/>
                <c:pt idx="0">
                  <c:v>35岁及以下</c:v>
                </c:pt>
                <c:pt idx="1">
                  <c:v>36至45岁</c:v>
                </c:pt>
                <c:pt idx="2">
                  <c:v>46岁至55岁</c:v>
                </c:pt>
                <c:pt idx="3">
                  <c:v>56岁及以上</c:v>
                </c:pt>
              </c:strCache>
            </c:strRef>
          </c:cat>
          <c:val>
            <c:numRef>
              <c:f>Sheet1!$B$2:$B$5</c:f>
              <c:numCache>
                <c:formatCode>0.00%</c:formatCode>
                <c:ptCount val="4"/>
                <c:pt idx="0">
                  <c:v>0.419753086419753</c:v>
                </c:pt>
                <c:pt idx="1">
                  <c:v>0.296296296296296</c:v>
                </c:pt>
                <c:pt idx="2">
                  <c:v>0.271604938271605</c:v>
                </c:pt>
                <c:pt idx="3" c:formatCode="0.0%">
                  <c:v>0.0123456790123457</c:v>
                </c:pt>
              </c:numCache>
            </c:numRef>
          </c:val>
        </c:ser>
        <c:dLbls>
          <c:showLegendKey val="0"/>
          <c:showVal val="0"/>
          <c:showCatName val="1"/>
          <c:showSerName val="0"/>
          <c:showPercent val="1"/>
          <c:showBubbleSize val="0"/>
          <c:showLeaderLines val="1"/>
        </c:dLbls>
        <c:firstSliceAng val="0"/>
      </c:pieChart>
    </c:plotArea>
    <c:plotVisOnly val="1"/>
    <c:dispBlanksAs val="zero"/>
    <c:showDLblsOverMax val="0"/>
  </c:chart>
  <c:spPr>
    <a:ln w="9525" cap="flat" cmpd="sng" algn="ctr">
      <a:noFill/>
      <a:prstDash val="solid"/>
      <a:round/>
    </a:ln>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满意</c:v>
                </c:pt>
              </c:strCache>
            </c:strRef>
          </c:tx>
          <c:invertIfNegative val="0"/>
          <c:dLbls>
            <c:dLbl>
              <c:idx val="0"/>
              <c:layout>
                <c:manualLayout>
                  <c:x val="0.0049109883364027"/>
                  <c:y val="-0.0428571428571429"/>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
                  <c:y val="-0.0380952380952381"/>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
                  <c:y val="-0.0428571428571429"/>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428571428571429"/>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
                  <c:y val="-0.0571428571428571"/>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9.00337460898651e-17"/>
                  <c:y val="-0.0333333333333334"/>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245549416820126"/>
                  <c:y val="-0.0428571428571429"/>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Sheet1!$A$2:$A$8</c:f>
              <c:strCache>
                <c:ptCount val="7"/>
                <c:pt idx="0">
                  <c:v>生活满意度</c:v>
                </c:pt>
                <c:pt idx="1">
                  <c:v>专业学习满意度</c:v>
                </c:pt>
                <c:pt idx="2">
                  <c:v>校园安全满意度</c:v>
                </c:pt>
                <c:pt idx="3">
                  <c:v>校园文化和社团活动满意度</c:v>
                </c:pt>
                <c:pt idx="4">
                  <c:v>理论课学习满意度</c:v>
                </c:pt>
                <c:pt idx="5">
                  <c:v>实习实训满意度</c:v>
                </c:pt>
                <c:pt idx="6">
                  <c:v>总体满意度</c:v>
                </c:pt>
              </c:strCache>
            </c:strRef>
          </c:cat>
          <c:val>
            <c:numRef>
              <c:f>Sheet1!$B$2:$B$8</c:f>
              <c:numCache>
                <c:formatCode>0.00%</c:formatCode>
                <c:ptCount val="7"/>
                <c:pt idx="0">
                  <c:v>0.6029</c:v>
                </c:pt>
                <c:pt idx="1">
                  <c:v>0.8558</c:v>
                </c:pt>
                <c:pt idx="2">
                  <c:v>0.8125</c:v>
                </c:pt>
                <c:pt idx="3">
                  <c:v>0.7885</c:v>
                </c:pt>
                <c:pt idx="4">
                  <c:v>0.8606</c:v>
                </c:pt>
                <c:pt idx="5">
                  <c:v>0.8125</c:v>
                </c:pt>
                <c:pt idx="6">
                  <c:v>0.8318</c:v>
                </c:pt>
              </c:numCache>
            </c:numRef>
          </c:val>
        </c:ser>
        <c:ser>
          <c:idx val="1"/>
          <c:order val="1"/>
          <c:tx>
            <c:strRef>
              <c:f>Sheet1!$C$1</c:f>
              <c:strCache>
                <c:ptCount val="1"/>
                <c:pt idx="0">
                  <c:v>一般</c:v>
                </c:pt>
              </c:strCache>
            </c:strRef>
          </c:tx>
          <c:invertIfNegative val="0"/>
          <c:dLbls>
            <c:dLbl>
              <c:idx val="0"/>
              <c:layout>
                <c:manualLayout>
                  <c:x val="-0.00736648250460423"/>
                  <c:y val="-0.00952380952380952"/>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147329650092081"/>
                  <c:y val="-0.019047619047619"/>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171884591774095"/>
                  <c:y val="-0.0306362954630671"/>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
                  <c:y val="-0.0238095238095239"/>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049109883364027"/>
                  <c:y val="-0.0333333333333333"/>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098219766728054"/>
                  <c:y val="-0.0285714285714286"/>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098219766728054"/>
                  <c:y val="-0.0285714285714286"/>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Sheet1!$A$2:$A$8</c:f>
              <c:strCache>
                <c:ptCount val="7"/>
                <c:pt idx="0">
                  <c:v>生活满意度</c:v>
                </c:pt>
                <c:pt idx="1">
                  <c:v>专业学习满意度</c:v>
                </c:pt>
                <c:pt idx="2">
                  <c:v>校园安全满意度</c:v>
                </c:pt>
                <c:pt idx="3">
                  <c:v>校园文化和社团活动满意度</c:v>
                </c:pt>
                <c:pt idx="4">
                  <c:v>理论课学习满意度</c:v>
                </c:pt>
                <c:pt idx="5">
                  <c:v>实习实训满意度</c:v>
                </c:pt>
                <c:pt idx="6">
                  <c:v>总体满意度</c:v>
                </c:pt>
              </c:strCache>
            </c:strRef>
          </c:cat>
          <c:val>
            <c:numRef>
              <c:f>Sheet1!$C$2:$C$8</c:f>
              <c:numCache>
                <c:formatCode>0.00%</c:formatCode>
                <c:ptCount val="7"/>
                <c:pt idx="0">
                  <c:v>0.2566</c:v>
                </c:pt>
                <c:pt idx="1">
                  <c:v>0.1202</c:v>
                </c:pt>
                <c:pt idx="2">
                  <c:v>0.1394</c:v>
                </c:pt>
                <c:pt idx="3">
                  <c:v>0.1875</c:v>
                </c:pt>
                <c:pt idx="4">
                  <c:v>0.1202</c:v>
                </c:pt>
                <c:pt idx="5">
                  <c:v>0.1779</c:v>
                </c:pt>
                <c:pt idx="6">
                  <c:v>0.1394</c:v>
                </c:pt>
              </c:numCache>
            </c:numRef>
          </c:val>
        </c:ser>
        <c:ser>
          <c:idx val="2"/>
          <c:order val="2"/>
          <c:tx>
            <c:strRef>
              <c:f>Sheet1!$D$1</c:f>
              <c:strCache>
                <c:ptCount val="1"/>
                <c:pt idx="0">
                  <c:v>不满意</c:v>
                </c:pt>
              </c:strCache>
            </c:strRef>
          </c:tx>
          <c:invertIfNegative val="0"/>
          <c:dLbls>
            <c:dLbl>
              <c:idx val="0"/>
              <c:layout>
                <c:manualLayout>
                  <c:x val="0.0435972022834161"/>
                  <c:y val="-0.0117994100294985"/>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216771798552805"/>
                  <c:y val="-0.0471976401179941"/>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247927572589337"/>
                  <c:y val="-0.0471976401179942"/>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3"/>
              <c:layout>
                <c:manualLayout>
                  <c:x val="0.0270104358502149"/>
                  <c:y val="-0.0176991150442478"/>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4"/>
              <c:layout>
                <c:manualLayout>
                  <c:x val="0.049109883364027"/>
                  <c:y val="-0.0176991150442478"/>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5"/>
              <c:layout>
                <c:manualLayout>
                  <c:x val="0.0270334440239169"/>
                  <c:y val="-0.0251252684323551"/>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dLbl>
              <c:idx val="6"/>
              <c:layout>
                <c:manualLayout>
                  <c:x val="0.0245549416820133"/>
                  <c:y val="-0.0125"/>
                </c:manualLayout>
              </c:layout>
              <c:dLblPos val="ct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Sheet1!$A$2:$A$8</c:f>
              <c:strCache>
                <c:ptCount val="7"/>
                <c:pt idx="0">
                  <c:v>生活满意度</c:v>
                </c:pt>
                <c:pt idx="1">
                  <c:v>专业学习满意度</c:v>
                </c:pt>
                <c:pt idx="2">
                  <c:v>校园安全满意度</c:v>
                </c:pt>
                <c:pt idx="3">
                  <c:v>校园文化和社团活动满意度</c:v>
                </c:pt>
                <c:pt idx="4">
                  <c:v>理论课学习满意度</c:v>
                </c:pt>
                <c:pt idx="5">
                  <c:v>实习实训满意度</c:v>
                </c:pt>
                <c:pt idx="6">
                  <c:v>总体满意度</c:v>
                </c:pt>
              </c:strCache>
            </c:strRef>
          </c:cat>
          <c:val>
            <c:numRef>
              <c:f>Sheet1!$D$2:$D$8</c:f>
              <c:numCache>
                <c:formatCode>0.00%</c:formatCode>
                <c:ptCount val="7"/>
                <c:pt idx="0">
                  <c:v>0.1405</c:v>
                </c:pt>
                <c:pt idx="1">
                  <c:v>0.024</c:v>
                </c:pt>
                <c:pt idx="2">
                  <c:v>0.048</c:v>
                </c:pt>
                <c:pt idx="3">
                  <c:v>0.024</c:v>
                </c:pt>
                <c:pt idx="4">
                  <c:v>0.0192</c:v>
                </c:pt>
                <c:pt idx="5">
                  <c:v>0.0096</c:v>
                </c:pt>
                <c:pt idx="6">
                  <c:v>0.0288</c:v>
                </c:pt>
              </c:numCache>
            </c:numRef>
          </c:val>
        </c:ser>
        <c:dLbls>
          <c:showLegendKey val="0"/>
          <c:showVal val="0"/>
          <c:showCatName val="0"/>
          <c:showSerName val="0"/>
          <c:showPercent val="0"/>
          <c:showBubbleSize val="0"/>
        </c:dLbls>
        <c:gapWidth val="150"/>
        <c:overlap val="100"/>
        <c:axId val="202429952"/>
        <c:axId val="202431488"/>
      </c:barChart>
      <c:catAx>
        <c:axId val="202429952"/>
        <c:scaling>
          <c:orientation val="minMax"/>
        </c:scaling>
        <c:delete val="0"/>
        <c:axPos val="l"/>
        <c:numFmt formatCode="General" sourceLinked="0"/>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02431488"/>
        <c:crosses val="autoZero"/>
        <c:auto val="1"/>
        <c:lblAlgn val="ctr"/>
        <c:lblOffset val="100"/>
        <c:noMultiLvlLbl val="0"/>
      </c:catAx>
      <c:valAx>
        <c:axId val="202431488"/>
        <c:scaling>
          <c:orientation val="minMax"/>
        </c:scaling>
        <c:delete val="0"/>
        <c:axPos val="b"/>
        <c:numFmt formatCode="0%"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02429952"/>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spPr>
    <a:ln w="9525" cap="flat" cmpd="sng" algn="ctr">
      <a:noFill/>
      <a:prstDash val="solid"/>
      <a:round/>
    </a:ln>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满意度</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0"/>
              <c:layout>
                <c:manualLayout>
                  <c:x val="0.00201959343712403"/>
                  <c:y val="-0.0195826345811847"/>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00290501885873045"/>
                  <c:y val="0.0829113782873458"/>
                </c:manualLayout>
              </c:layout>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非常满意</c:v>
                </c:pt>
                <c:pt idx="1">
                  <c:v>一般</c:v>
                </c:pt>
                <c:pt idx="2">
                  <c:v>不满意</c:v>
                </c:pt>
              </c:strCache>
            </c:strRef>
          </c:cat>
          <c:val>
            <c:numRef>
              <c:f>Sheet1!$B$2:$B$4</c:f>
              <c:numCache>
                <c:formatCode>0.00%</c:formatCode>
                <c:ptCount val="3"/>
                <c:pt idx="0">
                  <c:v>0.6668</c:v>
                </c:pt>
                <c:pt idx="1">
                  <c:v>0.3332</c:v>
                </c:pt>
                <c:pt idx="2">
                  <c:v>0</c:v>
                </c:pt>
              </c:numCache>
            </c:numRef>
          </c:val>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bg1"/>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国有企业</c:v>
                </c:pt>
                <c:pt idx="1">
                  <c:v>民营企业</c:v>
                </c:pt>
                <c:pt idx="2">
                  <c:v>外资企业</c:v>
                </c:pt>
              </c:strCache>
            </c:strRef>
          </c:cat>
          <c:val>
            <c:numRef>
              <c:f>Sheet1!$B$2:$B$4</c:f>
              <c:numCache>
                <c:formatCode>0%</c:formatCode>
                <c:ptCount val="3"/>
                <c:pt idx="0">
                  <c:v>0.75</c:v>
                </c:pt>
                <c:pt idx="1">
                  <c:v>0.25</c:v>
                </c:pt>
                <c:pt idx="2">
                  <c:v>0</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销售额</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Lbl>
              <c:idx val="1"/>
              <c:layout>
                <c:manualLayout>
                  <c:x val="-0.0483931008810026"/>
                  <c:y val="0.0482456140350877"/>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dLbl>
              <c:idx val="2"/>
              <c:layout>
                <c:manualLayout>
                  <c:x val="0.0335029159945403"/>
                  <c:y val="0"/>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1"/>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满意</c:v>
                </c:pt>
                <c:pt idx="1">
                  <c:v>一般</c:v>
                </c:pt>
                <c:pt idx="2">
                  <c:v>不满意</c:v>
                </c:pt>
              </c:strCache>
            </c:strRef>
          </c:cat>
          <c:val>
            <c:numRef>
              <c:f>Sheet1!$B$2:$B$4</c:f>
              <c:numCache>
                <c:formatCode>0.00%</c:formatCode>
                <c:ptCount val="3"/>
                <c:pt idx="0">
                  <c:v>0.9136</c:v>
                </c:pt>
                <c:pt idx="1">
                  <c:v>0.079</c:v>
                </c:pt>
                <c:pt idx="2">
                  <c:v>0.0074</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50</Pages>
  <Words>4021</Words>
  <Characters>22923</Characters>
  <Lines>191</Lines>
  <Paragraphs>53</Paragraphs>
  <TotalTime>6</TotalTime>
  <ScaleCrop>false</ScaleCrop>
  <LinksUpToDate>false</LinksUpToDate>
  <CharactersWithSpaces>26891</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2021-01-11T11:24:00Z</dcterms:created>
  <dc:creator>Administrator</dc:creator>
  <cp:lastModifiedBy>l</cp:lastModifiedBy>
  <cp:lastPrinted>2021-01-18T14:52:00Z</cp:lastPrinted>
  <dcterms:modified xsi:type="dcterms:W3CDTF">2021-12-09T08:40:06Z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27821515E36445CBBA73676F2FDD9CA5</vt:lpwstr>
  </property>
</Properties>
</file>